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spacing w:line="33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2"/>
        </w:rPr>
        <w:t>统计上大中小微型企业划分标准</w:t>
      </w:r>
    </w:p>
    <w:tbl>
      <w:tblPr>
        <w:tblStyle w:val="6"/>
        <w:tblW w:w="94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widowControl/>
        <w:spacing w:line="54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说明：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　　1.大型、中型和小型企业须同时满足所列指标的下限，否则下划一档；微型企业只须满足所列指标中的一项即可。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　　2.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　　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  <w:highlight w:val="none"/>
        </w:rPr>
        <w:t>采用主营业务收入；限额以下批发与零售业企业采用商品销售额代替；限额以下住宿与餐饮业企业采用营业额代替；农、林、牧、渔业企业采用营业总收入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代替；其他未设置主营业务收入的行业，采用营业收入指标。（3）资产总额，采用资产总计代替。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6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4"/>
    <w:rsid w:val="0089790C"/>
    <w:rsid w:val="00C55104"/>
    <w:rsid w:val="0BC0353D"/>
    <w:rsid w:val="0FDB70D5"/>
    <w:rsid w:val="147F6A54"/>
    <w:rsid w:val="23674283"/>
    <w:rsid w:val="26C46918"/>
    <w:rsid w:val="38D77003"/>
    <w:rsid w:val="41410B14"/>
    <w:rsid w:val="5C35102D"/>
    <w:rsid w:val="6BFC4ABA"/>
    <w:rsid w:val="7740128D"/>
    <w:rsid w:val="7C26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unhideWhenUsed/>
    <w:uiPriority w:val="0"/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327</Words>
  <Characters>1868</Characters>
  <Lines>15</Lines>
  <Paragraphs>4</Paragraphs>
  <ScaleCrop>false</ScaleCrop>
  <LinksUpToDate>false</LinksUpToDate>
  <CharactersWithSpaces>2191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2018-01-02T03:48:00Z</dcterms:created>
  <dc:creator>杜欣(用印)</dc:creator>
  <cp:lastModifiedBy>shenyy</cp:lastModifiedBy>
  <cp:lastPrinted>2020-12-08T02:35:00Z</cp:lastPrinted>
  <dcterms:modified xsi:type="dcterms:W3CDTF">2021-01-20T10:00:53Z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