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3B" w:rsidRDefault="00C10A3B" w:rsidP="00C10A3B">
      <w:pPr>
        <w:spacing w:line="600" w:lineRule="exact"/>
        <w:jc w:val="left"/>
        <w:rPr>
          <w:rFonts w:ascii="仿宋_GB2312" w:eastAsia="仿宋_GB2312" w:hint="eastAsia"/>
          <w:sz w:val="32"/>
          <w:szCs w:val="32"/>
        </w:rPr>
      </w:pPr>
      <w:r>
        <w:rPr>
          <w:rFonts w:ascii="仿宋_GB2312" w:eastAsia="仿宋_GB2312" w:hint="eastAsia"/>
          <w:sz w:val="32"/>
          <w:szCs w:val="32"/>
        </w:rPr>
        <w:t>附件1</w:t>
      </w:r>
    </w:p>
    <w:p w:rsidR="00C10A3B" w:rsidRDefault="00C10A3B" w:rsidP="00C10A3B">
      <w:pPr>
        <w:spacing w:line="600" w:lineRule="exact"/>
        <w:jc w:val="left"/>
        <w:rPr>
          <w:rFonts w:eastAsia="黑体"/>
          <w:sz w:val="32"/>
          <w:szCs w:val="32"/>
        </w:rPr>
      </w:pPr>
    </w:p>
    <w:p w:rsidR="00C10A3B" w:rsidRDefault="00C10A3B" w:rsidP="00C10A3B">
      <w:pPr>
        <w:spacing w:line="6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广州市工业和信息化发展基金申报</w:t>
      </w:r>
    </w:p>
    <w:p w:rsidR="00C10A3B" w:rsidRDefault="00C10A3B" w:rsidP="00C10A3B">
      <w:pPr>
        <w:spacing w:line="600" w:lineRule="exact"/>
        <w:jc w:val="center"/>
        <w:rPr>
          <w:rFonts w:ascii="方正小标宋_GBK" w:eastAsia="方正小标宋_GBK" w:hint="eastAsia"/>
          <w:color w:val="000000"/>
          <w:sz w:val="44"/>
          <w:szCs w:val="44"/>
        </w:rPr>
      </w:pPr>
      <w:r>
        <w:rPr>
          <w:rFonts w:ascii="方正小标宋_GBK" w:eastAsia="方正小标宋_GBK" w:hint="eastAsia"/>
          <w:color w:val="000000"/>
          <w:sz w:val="44"/>
          <w:szCs w:val="44"/>
        </w:rPr>
        <w:t>条件和要求</w:t>
      </w:r>
    </w:p>
    <w:p w:rsidR="00C10A3B" w:rsidRDefault="00C10A3B" w:rsidP="00C10A3B">
      <w:pPr>
        <w:spacing w:line="600" w:lineRule="exact"/>
        <w:jc w:val="center"/>
        <w:rPr>
          <w:rFonts w:eastAsia="黑体"/>
          <w:color w:val="000000"/>
          <w:sz w:val="32"/>
          <w:szCs w:val="32"/>
        </w:rPr>
      </w:pPr>
    </w:p>
    <w:p w:rsidR="00C10A3B" w:rsidRDefault="00C10A3B" w:rsidP="00C10A3B">
      <w:pPr>
        <w:spacing w:line="600" w:lineRule="exact"/>
        <w:ind w:firstLineChars="200" w:firstLine="640"/>
        <w:rPr>
          <w:rFonts w:eastAsia="黑体"/>
          <w:color w:val="000000"/>
          <w:sz w:val="32"/>
          <w:szCs w:val="32"/>
        </w:rPr>
      </w:pPr>
      <w:r>
        <w:rPr>
          <w:rFonts w:eastAsia="黑体"/>
          <w:color w:val="000000"/>
          <w:sz w:val="32"/>
          <w:szCs w:val="32"/>
        </w:rPr>
        <w:t>一、发展基金合作模式</w:t>
      </w:r>
    </w:p>
    <w:p w:rsidR="00C10A3B" w:rsidRDefault="00C10A3B" w:rsidP="00C10A3B">
      <w:pPr>
        <w:spacing w:line="600" w:lineRule="exact"/>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（一）发展基金通过</w:t>
      </w:r>
      <w:proofErr w:type="gramStart"/>
      <w:r>
        <w:rPr>
          <w:rFonts w:eastAsia="仿宋_GB2312"/>
          <w:color w:val="000000"/>
          <w:sz w:val="32"/>
          <w:szCs w:val="32"/>
        </w:rPr>
        <w:t>母基金</w:t>
      </w:r>
      <w:proofErr w:type="gramEnd"/>
      <w:r>
        <w:rPr>
          <w:rFonts w:eastAsia="仿宋_GB2312"/>
          <w:color w:val="000000"/>
          <w:sz w:val="32"/>
          <w:szCs w:val="32"/>
        </w:rPr>
        <w:t>方式与国内外知名龙头企业、重点园区运营商共同发起设立子基金，</w:t>
      </w:r>
      <w:proofErr w:type="gramStart"/>
      <w:r>
        <w:rPr>
          <w:rFonts w:eastAsia="仿宋_GB2312"/>
          <w:color w:val="000000"/>
          <w:sz w:val="32"/>
          <w:szCs w:val="32"/>
        </w:rPr>
        <w:t>子基金</w:t>
      </w:r>
      <w:proofErr w:type="gramEnd"/>
      <w:r>
        <w:rPr>
          <w:rFonts w:eastAsia="仿宋_GB2312" w:hint="eastAsia"/>
          <w:color w:val="000000"/>
          <w:sz w:val="32"/>
          <w:szCs w:val="32"/>
        </w:rPr>
        <w:t>可</w:t>
      </w:r>
      <w:r>
        <w:rPr>
          <w:rFonts w:eastAsia="仿宋_GB2312"/>
          <w:color w:val="000000"/>
          <w:sz w:val="32"/>
          <w:szCs w:val="32"/>
        </w:rPr>
        <w:t>采用有限合伙制</w:t>
      </w:r>
      <w:r>
        <w:rPr>
          <w:rFonts w:eastAsia="仿宋_GB2312" w:hint="eastAsia"/>
          <w:color w:val="000000"/>
          <w:sz w:val="32"/>
          <w:szCs w:val="32"/>
        </w:rPr>
        <w:t>等</w:t>
      </w:r>
      <w:r>
        <w:rPr>
          <w:rFonts w:eastAsia="仿宋_GB2312"/>
          <w:color w:val="000000"/>
          <w:sz w:val="32"/>
          <w:szCs w:val="32"/>
        </w:rPr>
        <w:t>形式，发展基金相应的以有限合伙人（</w:t>
      </w:r>
      <w:r>
        <w:rPr>
          <w:rFonts w:eastAsia="仿宋_GB2312"/>
          <w:color w:val="000000"/>
          <w:sz w:val="32"/>
          <w:szCs w:val="32"/>
        </w:rPr>
        <w:t>LP</w:t>
      </w:r>
      <w:r>
        <w:rPr>
          <w:rFonts w:eastAsia="仿宋_GB2312"/>
          <w:color w:val="000000"/>
          <w:sz w:val="32"/>
          <w:szCs w:val="32"/>
        </w:rPr>
        <w:t>）</w:t>
      </w:r>
      <w:r>
        <w:rPr>
          <w:rFonts w:eastAsia="仿宋_GB2312" w:hint="eastAsia"/>
          <w:color w:val="000000"/>
          <w:sz w:val="32"/>
          <w:szCs w:val="32"/>
        </w:rPr>
        <w:t>等</w:t>
      </w:r>
      <w:r>
        <w:rPr>
          <w:rFonts w:eastAsia="仿宋_GB2312"/>
          <w:color w:val="000000"/>
          <w:sz w:val="32"/>
          <w:szCs w:val="32"/>
        </w:rPr>
        <w:t>身份出资。</w:t>
      </w:r>
    </w:p>
    <w:p w:rsidR="00C10A3B" w:rsidRDefault="00C10A3B" w:rsidP="00C10A3B">
      <w:pPr>
        <w:spacing w:line="600" w:lineRule="exact"/>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（二）发展基金对子基金出资比例不超过</w:t>
      </w:r>
      <w:proofErr w:type="gramStart"/>
      <w:r>
        <w:rPr>
          <w:rFonts w:eastAsia="仿宋_GB2312"/>
          <w:color w:val="000000"/>
          <w:sz w:val="32"/>
          <w:szCs w:val="32"/>
        </w:rPr>
        <w:t>子基金</w:t>
      </w:r>
      <w:proofErr w:type="gramEnd"/>
      <w:r>
        <w:rPr>
          <w:rFonts w:eastAsia="仿宋_GB2312"/>
          <w:color w:val="000000"/>
          <w:sz w:val="32"/>
          <w:szCs w:val="32"/>
        </w:rPr>
        <w:t>规模的</w:t>
      </w:r>
      <w:r>
        <w:rPr>
          <w:rFonts w:eastAsia="仿宋_GB2312"/>
          <w:color w:val="000000"/>
          <w:sz w:val="32"/>
          <w:szCs w:val="32"/>
        </w:rPr>
        <w:t>30</w:t>
      </w:r>
      <w:r>
        <w:rPr>
          <w:rFonts w:eastAsia="仿宋_GB2312"/>
          <w:color w:val="000000"/>
          <w:sz w:val="32"/>
          <w:szCs w:val="32"/>
        </w:rPr>
        <w:t>％，</w:t>
      </w:r>
      <w:r>
        <w:rPr>
          <w:rFonts w:eastAsia="仿宋_GB2312" w:hint="eastAsia"/>
          <w:sz w:val="32"/>
          <w:szCs w:val="32"/>
        </w:rPr>
        <w:t>其中受托制资金出资比例最高不超过</w:t>
      </w:r>
      <w:proofErr w:type="gramStart"/>
      <w:r>
        <w:rPr>
          <w:rFonts w:eastAsia="仿宋_GB2312" w:hint="eastAsia"/>
          <w:sz w:val="32"/>
          <w:szCs w:val="32"/>
        </w:rPr>
        <w:t>子基金</w:t>
      </w:r>
      <w:proofErr w:type="gramEnd"/>
      <w:r>
        <w:rPr>
          <w:rFonts w:eastAsia="仿宋_GB2312" w:hint="eastAsia"/>
          <w:sz w:val="32"/>
          <w:szCs w:val="32"/>
        </w:rPr>
        <w:t>规模的</w:t>
      </w:r>
      <w:r>
        <w:rPr>
          <w:rFonts w:eastAsia="仿宋_GB2312" w:hint="eastAsia"/>
          <w:sz w:val="32"/>
          <w:szCs w:val="32"/>
        </w:rPr>
        <w:t>20%</w:t>
      </w:r>
      <w:r>
        <w:rPr>
          <w:rFonts w:eastAsia="仿宋_GB2312" w:hint="eastAsia"/>
          <w:sz w:val="32"/>
          <w:szCs w:val="32"/>
        </w:rPr>
        <w:t>，</w:t>
      </w:r>
      <w:r>
        <w:rPr>
          <w:rFonts w:eastAsia="仿宋_GB2312"/>
          <w:color w:val="000000"/>
          <w:sz w:val="32"/>
          <w:szCs w:val="32"/>
        </w:rPr>
        <w:t>且不作为第一大出资人。</w:t>
      </w:r>
    </w:p>
    <w:p w:rsidR="00C10A3B" w:rsidRDefault="00C10A3B" w:rsidP="00C10A3B">
      <w:pPr>
        <w:spacing w:line="600" w:lineRule="exact"/>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（三）发展基金对子基金的每期出资款均是在其他出资人完成对应出资后才实施缴付，可分期缴纳。</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t>（四）</w:t>
      </w:r>
      <w:proofErr w:type="gramStart"/>
      <w:r>
        <w:rPr>
          <w:rFonts w:eastAsia="仿宋_GB2312"/>
          <w:color w:val="000000"/>
          <w:sz w:val="32"/>
          <w:szCs w:val="32"/>
        </w:rPr>
        <w:t>子基金</w:t>
      </w:r>
      <w:proofErr w:type="gramEnd"/>
      <w:r>
        <w:rPr>
          <w:rFonts w:eastAsia="仿宋_GB2312"/>
          <w:color w:val="000000"/>
          <w:sz w:val="32"/>
          <w:szCs w:val="32"/>
        </w:rPr>
        <w:t>的发起设立、投资管理、业绩奖励等按照市场化方式独立运作，自主经营，自负盈亏。</w:t>
      </w:r>
    </w:p>
    <w:p w:rsidR="00C10A3B" w:rsidRDefault="00C10A3B" w:rsidP="00C10A3B">
      <w:pPr>
        <w:spacing w:line="600" w:lineRule="exact"/>
        <w:ind w:firstLineChars="200" w:firstLine="640"/>
        <w:rPr>
          <w:rFonts w:eastAsia="黑体"/>
          <w:color w:val="000000"/>
          <w:sz w:val="32"/>
          <w:szCs w:val="32"/>
        </w:rPr>
      </w:pPr>
      <w:r>
        <w:rPr>
          <w:rFonts w:eastAsia="黑体"/>
          <w:color w:val="000000"/>
          <w:sz w:val="32"/>
          <w:szCs w:val="32"/>
        </w:rPr>
        <w:t>二、申报条件</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t>（一）申报机构原则上为国内外知名龙头企业、重点园区运营商</w:t>
      </w:r>
      <w:r>
        <w:rPr>
          <w:rFonts w:eastAsia="仿宋_GB2312" w:hint="eastAsia"/>
          <w:color w:val="000000"/>
          <w:sz w:val="32"/>
          <w:szCs w:val="32"/>
        </w:rPr>
        <w:t>以及其他在本产业</w:t>
      </w:r>
      <w:proofErr w:type="gramStart"/>
      <w:r>
        <w:rPr>
          <w:rFonts w:eastAsia="仿宋_GB2312" w:hint="eastAsia"/>
          <w:color w:val="000000"/>
          <w:sz w:val="32"/>
          <w:szCs w:val="32"/>
        </w:rPr>
        <w:t>链具有</w:t>
      </w:r>
      <w:proofErr w:type="gramEnd"/>
      <w:r>
        <w:rPr>
          <w:rFonts w:eastAsia="仿宋_GB2312" w:hint="eastAsia"/>
          <w:color w:val="000000"/>
          <w:sz w:val="32"/>
          <w:szCs w:val="32"/>
        </w:rPr>
        <w:t>明显带动作用的企业</w:t>
      </w:r>
      <w:r>
        <w:rPr>
          <w:rFonts w:eastAsia="仿宋_GB2312"/>
          <w:color w:val="000000"/>
          <w:sz w:val="32"/>
          <w:szCs w:val="32"/>
        </w:rPr>
        <w:t>，或为知名龙头企业、重点园区运营商的重要股东、实际控制人直接或者间接控制的股权投资类企业（</w:t>
      </w:r>
      <w:proofErr w:type="gramStart"/>
      <w:r>
        <w:rPr>
          <w:rFonts w:eastAsia="仿宋_GB2312"/>
          <w:color w:val="000000"/>
          <w:sz w:val="32"/>
          <w:szCs w:val="32"/>
        </w:rPr>
        <w:t>含创业</w:t>
      </w:r>
      <w:proofErr w:type="gramEnd"/>
      <w:r>
        <w:rPr>
          <w:rFonts w:eastAsia="仿宋_GB2312"/>
          <w:color w:val="000000"/>
          <w:sz w:val="32"/>
          <w:szCs w:val="32"/>
        </w:rPr>
        <w:t>投资企业，需经律师事务所认定），并由其依法依规负责募集其他资本。</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lastRenderedPageBreak/>
        <w:t>（二）申报机构可直接作为</w:t>
      </w:r>
      <w:proofErr w:type="gramStart"/>
      <w:r>
        <w:rPr>
          <w:rFonts w:eastAsia="仿宋_GB2312"/>
          <w:color w:val="000000"/>
          <w:sz w:val="32"/>
          <w:szCs w:val="32"/>
        </w:rPr>
        <w:t>子基金</w:t>
      </w:r>
      <w:proofErr w:type="gramEnd"/>
      <w:r>
        <w:rPr>
          <w:rFonts w:eastAsia="仿宋_GB2312"/>
          <w:color w:val="000000"/>
          <w:sz w:val="32"/>
          <w:szCs w:val="32"/>
        </w:rPr>
        <w:t>管理人，也可指定或新设重要股东、实际控制人直接或者间接控制的企业作为</w:t>
      </w:r>
      <w:proofErr w:type="gramStart"/>
      <w:r>
        <w:rPr>
          <w:rFonts w:eastAsia="仿宋_GB2312"/>
          <w:color w:val="000000"/>
          <w:sz w:val="32"/>
          <w:szCs w:val="32"/>
        </w:rPr>
        <w:t>子基金</w:t>
      </w:r>
      <w:proofErr w:type="gramEnd"/>
      <w:r>
        <w:rPr>
          <w:rFonts w:eastAsia="仿宋_GB2312"/>
          <w:color w:val="000000"/>
          <w:sz w:val="32"/>
          <w:szCs w:val="32"/>
        </w:rPr>
        <w:t>管理人。</w:t>
      </w:r>
    </w:p>
    <w:p w:rsidR="00C10A3B" w:rsidRDefault="00C10A3B" w:rsidP="00C10A3B">
      <w:pPr>
        <w:spacing w:line="600" w:lineRule="exact"/>
        <w:ind w:firstLineChars="200" w:firstLine="640"/>
        <w:rPr>
          <w:rFonts w:eastAsia="仿宋_GB2312"/>
          <w:color w:val="000000"/>
          <w:sz w:val="32"/>
          <w:szCs w:val="32"/>
        </w:rPr>
      </w:pPr>
      <w:proofErr w:type="gramStart"/>
      <w:r>
        <w:rPr>
          <w:rFonts w:eastAsia="仿宋_GB2312"/>
          <w:color w:val="000000"/>
          <w:sz w:val="32"/>
          <w:szCs w:val="32"/>
        </w:rPr>
        <w:t>子基金</w:t>
      </w:r>
      <w:proofErr w:type="gramEnd"/>
      <w:r>
        <w:rPr>
          <w:rFonts w:eastAsia="仿宋_GB2312"/>
          <w:color w:val="000000"/>
          <w:sz w:val="32"/>
          <w:szCs w:val="32"/>
        </w:rPr>
        <w:t>管理人须符合以下条件：</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．在中国大陆依法设立的公司或合伙企业，实收资本不低于</w:t>
      </w:r>
      <w:r>
        <w:rPr>
          <w:rFonts w:eastAsia="仿宋_GB2312"/>
          <w:color w:val="000000"/>
          <w:sz w:val="32"/>
          <w:szCs w:val="32"/>
        </w:rPr>
        <w:t>1000</w:t>
      </w:r>
      <w:r>
        <w:rPr>
          <w:rFonts w:eastAsia="仿宋_GB2312"/>
          <w:color w:val="000000"/>
          <w:sz w:val="32"/>
          <w:szCs w:val="32"/>
        </w:rPr>
        <w:t>万元人民币。</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．已在中国证券投资基金业协会完成管理人登记手续。</w:t>
      </w:r>
    </w:p>
    <w:p w:rsidR="00C10A3B" w:rsidRDefault="00C10A3B" w:rsidP="00C10A3B">
      <w:pPr>
        <w:spacing w:line="600" w:lineRule="exact"/>
        <w:rPr>
          <w:rFonts w:eastAsia="仿宋_GB2312"/>
          <w:color w:val="000000"/>
          <w:sz w:val="32"/>
          <w:szCs w:val="32"/>
        </w:rPr>
      </w:pPr>
      <w:r>
        <w:rPr>
          <w:rFonts w:eastAsia="仿宋_GB2312"/>
          <w:color w:val="000000"/>
          <w:sz w:val="32"/>
          <w:szCs w:val="32"/>
        </w:rPr>
        <w:t xml:space="preserve">    3</w:t>
      </w:r>
      <w:r>
        <w:rPr>
          <w:rFonts w:eastAsia="仿宋_GB2312"/>
          <w:color w:val="000000"/>
          <w:sz w:val="32"/>
          <w:szCs w:val="32"/>
        </w:rPr>
        <w:t>．具有股权投资或相关业务经验，在拟设立的</w:t>
      </w:r>
      <w:proofErr w:type="gramStart"/>
      <w:r>
        <w:rPr>
          <w:rFonts w:eastAsia="仿宋_GB2312"/>
          <w:color w:val="000000"/>
          <w:sz w:val="32"/>
          <w:szCs w:val="32"/>
        </w:rPr>
        <w:t>子基金</w:t>
      </w:r>
      <w:proofErr w:type="gramEnd"/>
      <w:r>
        <w:rPr>
          <w:rFonts w:eastAsia="仿宋_GB2312"/>
          <w:color w:val="000000"/>
          <w:sz w:val="32"/>
          <w:szCs w:val="32"/>
        </w:rPr>
        <w:t>投资领域有相关的投资案例。主要负责人具备丰富基金管理运作经验，并已取得良好的管理业绩，且至少有</w:t>
      </w:r>
      <w:r>
        <w:rPr>
          <w:rFonts w:eastAsia="仿宋_GB2312"/>
          <w:color w:val="000000"/>
          <w:sz w:val="32"/>
          <w:szCs w:val="32"/>
        </w:rPr>
        <w:t>3</w:t>
      </w:r>
      <w:r>
        <w:rPr>
          <w:rFonts w:eastAsia="仿宋_GB2312"/>
          <w:color w:val="000000"/>
          <w:sz w:val="32"/>
          <w:szCs w:val="32"/>
        </w:rPr>
        <w:t>名具备</w:t>
      </w:r>
      <w:r>
        <w:rPr>
          <w:rFonts w:eastAsia="仿宋_GB2312"/>
          <w:color w:val="000000"/>
          <w:sz w:val="32"/>
          <w:szCs w:val="32"/>
        </w:rPr>
        <w:t>3</w:t>
      </w:r>
      <w:r>
        <w:rPr>
          <w:rFonts w:eastAsia="仿宋_GB2312"/>
          <w:color w:val="000000"/>
          <w:sz w:val="32"/>
          <w:szCs w:val="32"/>
        </w:rPr>
        <w:t>年以上股权投资或相关业务经验的专职高级管理人员。</w:t>
      </w:r>
    </w:p>
    <w:p w:rsidR="00C10A3B" w:rsidRDefault="00C10A3B" w:rsidP="00C10A3B">
      <w:pPr>
        <w:spacing w:line="600" w:lineRule="exact"/>
        <w:rPr>
          <w:rFonts w:eastAsia="仿宋_GB2312"/>
          <w:color w:val="000000"/>
          <w:sz w:val="32"/>
          <w:szCs w:val="32"/>
        </w:rPr>
      </w:pPr>
      <w:r>
        <w:rPr>
          <w:rFonts w:eastAsia="仿宋_GB2312"/>
          <w:color w:val="000000"/>
          <w:sz w:val="32"/>
          <w:szCs w:val="32"/>
        </w:rPr>
        <w:t xml:space="preserve">    4</w:t>
      </w:r>
      <w:r>
        <w:rPr>
          <w:rFonts w:eastAsia="仿宋_GB2312"/>
          <w:color w:val="000000"/>
          <w:sz w:val="32"/>
          <w:szCs w:val="32"/>
        </w:rPr>
        <w:t>．管理和运作规范，具有严格合理的投资决策程序和风险控制机制；按照国家企业财务、会计制度规定，有健全的内部财务管理制度和会计核算办法。</w:t>
      </w:r>
    </w:p>
    <w:p w:rsidR="00C10A3B" w:rsidRDefault="00C10A3B" w:rsidP="00C10A3B">
      <w:pPr>
        <w:spacing w:line="600" w:lineRule="exact"/>
        <w:rPr>
          <w:rFonts w:eastAsia="仿宋_GB2312"/>
          <w:color w:val="000000"/>
          <w:sz w:val="32"/>
          <w:szCs w:val="32"/>
        </w:rPr>
      </w:pPr>
      <w:r>
        <w:rPr>
          <w:rFonts w:eastAsia="仿宋_GB2312"/>
          <w:color w:val="000000"/>
          <w:sz w:val="32"/>
          <w:szCs w:val="32"/>
        </w:rPr>
        <w:t xml:space="preserve">    5</w:t>
      </w:r>
      <w:r>
        <w:rPr>
          <w:rFonts w:eastAsia="仿宋_GB2312"/>
          <w:color w:val="000000"/>
          <w:sz w:val="32"/>
          <w:szCs w:val="32"/>
        </w:rPr>
        <w:t>．基金管理人及其董事、监事、高级管理人员及其他从业人员在最近三年无重大违法行为。</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．有符合要求的营业场所、安全防范设施和与基金管理业务有关的其他设施。</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t>（三）</w:t>
      </w:r>
      <w:proofErr w:type="gramStart"/>
      <w:r>
        <w:rPr>
          <w:rFonts w:eastAsia="仿宋_GB2312"/>
          <w:color w:val="000000"/>
          <w:sz w:val="32"/>
          <w:szCs w:val="32"/>
        </w:rPr>
        <w:t>子基金</w:t>
      </w:r>
      <w:proofErr w:type="gramEnd"/>
      <w:r>
        <w:rPr>
          <w:rFonts w:eastAsia="仿宋_GB2312"/>
          <w:color w:val="000000"/>
          <w:sz w:val="32"/>
          <w:szCs w:val="32"/>
        </w:rPr>
        <w:t>必须</w:t>
      </w:r>
      <w:r>
        <w:rPr>
          <w:rFonts w:eastAsia="仿宋_GB2312" w:hint="eastAsia"/>
          <w:color w:val="000000"/>
          <w:sz w:val="32"/>
          <w:szCs w:val="32"/>
        </w:rPr>
        <w:t>在广州市行政区域内</w:t>
      </w:r>
      <w:r>
        <w:rPr>
          <w:rFonts w:eastAsia="仿宋_GB2312"/>
          <w:color w:val="000000"/>
          <w:sz w:val="32"/>
          <w:szCs w:val="32"/>
        </w:rPr>
        <w:t>，鼓励</w:t>
      </w:r>
      <w:proofErr w:type="gramStart"/>
      <w:r>
        <w:rPr>
          <w:rFonts w:eastAsia="仿宋_GB2312"/>
          <w:color w:val="000000"/>
          <w:sz w:val="32"/>
          <w:szCs w:val="32"/>
        </w:rPr>
        <w:t>子基金</w:t>
      </w:r>
      <w:proofErr w:type="gramEnd"/>
      <w:r>
        <w:rPr>
          <w:rFonts w:eastAsia="仿宋_GB2312"/>
          <w:color w:val="000000"/>
          <w:sz w:val="32"/>
          <w:szCs w:val="32"/>
        </w:rPr>
        <w:t>管理</w:t>
      </w:r>
      <w:r>
        <w:rPr>
          <w:rFonts w:eastAsia="仿宋_GB2312" w:hint="eastAsia"/>
          <w:color w:val="000000"/>
          <w:sz w:val="32"/>
          <w:szCs w:val="32"/>
        </w:rPr>
        <w:t>机构</w:t>
      </w:r>
      <w:r>
        <w:rPr>
          <w:rFonts w:eastAsia="仿宋_GB2312"/>
          <w:color w:val="000000"/>
          <w:sz w:val="32"/>
          <w:szCs w:val="32"/>
        </w:rPr>
        <w:t>设立在广州。</w:t>
      </w:r>
    </w:p>
    <w:p w:rsidR="00C10A3B" w:rsidRDefault="00C10A3B" w:rsidP="00C10A3B">
      <w:pPr>
        <w:spacing w:line="600" w:lineRule="exact"/>
        <w:ind w:firstLineChars="200" w:firstLine="640"/>
        <w:rPr>
          <w:rFonts w:eastAsia="黑体"/>
          <w:color w:val="000000"/>
          <w:sz w:val="32"/>
          <w:szCs w:val="32"/>
        </w:rPr>
      </w:pPr>
      <w:r>
        <w:rPr>
          <w:rFonts w:eastAsia="黑体"/>
          <w:color w:val="000000"/>
          <w:sz w:val="32"/>
          <w:szCs w:val="32"/>
        </w:rPr>
        <w:t>三、重点支持领域</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t>围绕广州工业和信息化高质量发展主要产业领域，并优先支持政府战略性产业。具体产业领域包括</w:t>
      </w:r>
      <w:r>
        <w:rPr>
          <w:rFonts w:eastAsia="仿宋_GB2312" w:hint="eastAsia"/>
          <w:color w:val="000000"/>
          <w:sz w:val="32"/>
          <w:szCs w:val="32"/>
        </w:rPr>
        <w:t>但不限于</w:t>
      </w:r>
      <w:r>
        <w:rPr>
          <w:rFonts w:eastAsia="仿宋_GB2312"/>
          <w:color w:val="000000"/>
          <w:sz w:val="32"/>
          <w:szCs w:val="32"/>
        </w:rPr>
        <w:t>：</w:t>
      </w:r>
    </w:p>
    <w:p w:rsidR="00C10A3B" w:rsidRDefault="00C10A3B" w:rsidP="00C10A3B">
      <w:pPr>
        <w:spacing w:line="600" w:lineRule="exact"/>
        <w:ind w:firstLine="640"/>
        <w:rPr>
          <w:rFonts w:eastAsia="仿宋_GB2312"/>
          <w:color w:val="000000"/>
          <w:sz w:val="32"/>
          <w:szCs w:val="32"/>
        </w:rPr>
      </w:pPr>
      <w:r>
        <w:rPr>
          <w:rFonts w:eastAsia="仿宋_GB2312" w:hint="eastAsia"/>
          <w:color w:val="000000"/>
          <w:sz w:val="32"/>
          <w:szCs w:val="32"/>
        </w:rPr>
        <w:lastRenderedPageBreak/>
        <w:t>汽车、电子信息制造、绿色石化和新材料、生物医药及高端医疗器械、高端装备制造、节能环保、新能源、纺织服装、美妆日化、箱包皮具、珠宝首饰、食品饮料、半导体与集成电路、超高清视频和新型显示、软件和信创、人工智能、工业互联网、互联网与电商、</w:t>
      </w:r>
      <w:r>
        <w:rPr>
          <w:rFonts w:eastAsia="仿宋_GB2312" w:hint="eastAsia"/>
          <w:color w:val="000000"/>
          <w:sz w:val="32"/>
          <w:szCs w:val="32"/>
        </w:rPr>
        <w:t>5G</w:t>
      </w:r>
      <w:r>
        <w:rPr>
          <w:rFonts w:eastAsia="仿宋_GB2312" w:hint="eastAsia"/>
          <w:color w:val="000000"/>
          <w:sz w:val="32"/>
          <w:szCs w:val="32"/>
        </w:rPr>
        <w:t>和卫星通信应用、车联网和自动驾驶、数字创意（游戏电竞）。</w:t>
      </w:r>
    </w:p>
    <w:p w:rsidR="00C10A3B" w:rsidRDefault="00C10A3B" w:rsidP="00C10A3B">
      <w:pPr>
        <w:spacing w:line="600" w:lineRule="exact"/>
        <w:ind w:firstLine="640"/>
        <w:rPr>
          <w:rFonts w:eastAsia="黑体"/>
          <w:color w:val="000000"/>
          <w:sz w:val="32"/>
          <w:szCs w:val="32"/>
        </w:rPr>
      </w:pPr>
      <w:r>
        <w:rPr>
          <w:rFonts w:eastAsia="黑体"/>
          <w:color w:val="000000"/>
          <w:sz w:val="32"/>
          <w:szCs w:val="32"/>
        </w:rPr>
        <w:t>四、</w:t>
      </w:r>
      <w:proofErr w:type="gramStart"/>
      <w:r>
        <w:rPr>
          <w:rFonts w:eastAsia="黑体"/>
          <w:color w:val="000000"/>
          <w:sz w:val="32"/>
          <w:szCs w:val="32"/>
        </w:rPr>
        <w:t>子基金</w:t>
      </w:r>
      <w:proofErr w:type="gramEnd"/>
      <w:r>
        <w:rPr>
          <w:rFonts w:eastAsia="黑体"/>
          <w:color w:val="000000"/>
          <w:sz w:val="32"/>
          <w:szCs w:val="32"/>
        </w:rPr>
        <w:t>的管理要求</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t>（一）</w:t>
      </w:r>
      <w:proofErr w:type="gramStart"/>
      <w:r>
        <w:rPr>
          <w:rFonts w:eastAsia="仿宋_GB2312"/>
          <w:color w:val="000000"/>
          <w:sz w:val="32"/>
          <w:szCs w:val="32"/>
        </w:rPr>
        <w:t>子基金</w:t>
      </w:r>
      <w:proofErr w:type="gramEnd"/>
      <w:r>
        <w:rPr>
          <w:rFonts w:eastAsia="仿宋_GB2312"/>
          <w:color w:val="000000"/>
          <w:sz w:val="32"/>
          <w:szCs w:val="32"/>
        </w:rPr>
        <w:t>的存续期原则上不超过</w:t>
      </w:r>
      <w:r>
        <w:rPr>
          <w:rFonts w:eastAsia="仿宋_GB2312"/>
          <w:color w:val="000000"/>
          <w:sz w:val="32"/>
          <w:szCs w:val="32"/>
        </w:rPr>
        <w:t>10</w:t>
      </w:r>
      <w:r>
        <w:rPr>
          <w:rFonts w:eastAsia="仿宋_GB2312"/>
          <w:color w:val="000000"/>
          <w:sz w:val="32"/>
          <w:szCs w:val="32"/>
        </w:rPr>
        <w:t>年。</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t>（二）所有投资者均以货币形式出资，且全部出资额须在《合伙协议》签署后的两年内到位。</w:t>
      </w:r>
    </w:p>
    <w:p w:rsidR="00C10A3B" w:rsidRDefault="00C10A3B" w:rsidP="00C10A3B">
      <w:pPr>
        <w:spacing w:line="600" w:lineRule="exact"/>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（三）发展基金受托管理机构向</w:t>
      </w:r>
      <w:proofErr w:type="gramStart"/>
      <w:r>
        <w:rPr>
          <w:rFonts w:eastAsia="仿宋_GB2312"/>
          <w:color w:val="000000"/>
          <w:sz w:val="32"/>
          <w:szCs w:val="32"/>
        </w:rPr>
        <w:t>子基金</w:t>
      </w:r>
      <w:proofErr w:type="gramEnd"/>
      <w:r>
        <w:rPr>
          <w:rFonts w:eastAsia="仿宋_GB2312"/>
          <w:color w:val="000000"/>
          <w:sz w:val="32"/>
          <w:szCs w:val="32"/>
        </w:rPr>
        <w:t>派驻投资决策委员会委员对子基金的投资进行监督。</w:t>
      </w:r>
      <w:proofErr w:type="gramStart"/>
      <w:r>
        <w:rPr>
          <w:rFonts w:eastAsia="仿宋_GB2312"/>
          <w:color w:val="000000"/>
          <w:sz w:val="32"/>
          <w:szCs w:val="32"/>
        </w:rPr>
        <w:t>子基金</w:t>
      </w:r>
      <w:proofErr w:type="gramEnd"/>
      <w:r>
        <w:rPr>
          <w:rFonts w:eastAsia="仿宋_GB2312"/>
          <w:color w:val="000000"/>
          <w:sz w:val="32"/>
          <w:szCs w:val="32"/>
        </w:rPr>
        <w:t>拟投资项目提交其投资决策委员会前，发展基金受托管理机构需对项目进行合</w:t>
      </w:r>
      <w:proofErr w:type="gramStart"/>
      <w:r>
        <w:rPr>
          <w:rFonts w:eastAsia="仿宋_GB2312"/>
          <w:color w:val="000000"/>
          <w:sz w:val="32"/>
          <w:szCs w:val="32"/>
        </w:rPr>
        <w:t>规</w:t>
      </w:r>
      <w:proofErr w:type="gramEnd"/>
      <w:r>
        <w:rPr>
          <w:rFonts w:eastAsia="仿宋_GB2312"/>
          <w:color w:val="000000"/>
          <w:sz w:val="32"/>
          <w:szCs w:val="32"/>
        </w:rPr>
        <w:t>性审查，对违法、违规、偏离政策导向和违反合伙协议的事项，受托管理机构具有一票否决权。</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t>（四）托管银行接受</w:t>
      </w:r>
      <w:proofErr w:type="gramStart"/>
      <w:r>
        <w:rPr>
          <w:rFonts w:eastAsia="仿宋_GB2312"/>
          <w:color w:val="000000"/>
          <w:sz w:val="32"/>
          <w:szCs w:val="32"/>
        </w:rPr>
        <w:t>子基金</w:t>
      </w:r>
      <w:proofErr w:type="gramEnd"/>
      <w:r>
        <w:rPr>
          <w:rFonts w:eastAsia="仿宋_GB2312"/>
          <w:color w:val="000000"/>
          <w:sz w:val="32"/>
          <w:szCs w:val="32"/>
        </w:rPr>
        <w:t>管理人委托并签订资金托管协议，按照协议约定对子基金托管专户</w:t>
      </w:r>
      <w:r>
        <w:rPr>
          <w:rFonts w:eastAsia="仿宋_GB2312" w:hint="eastAsia"/>
          <w:color w:val="000000"/>
          <w:sz w:val="32"/>
          <w:szCs w:val="32"/>
        </w:rPr>
        <w:t>和基本户</w:t>
      </w:r>
      <w:r>
        <w:rPr>
          <w:rFonts w:eastAsia="仿宋_GB2312"/>
          <w:color w:val="000000"/>
          <w:sz w:val="32"/>
          <w:szCs w:val="32"/>
        </w:rPr>
        <w:t>进行管理。</w:t>
      </w:r>
      <w:proofErr w:type="gramStart"/>
      <w:r>
        <w:rPr>
          <w:rFonts w:eastAsia="仿宋_GB2312"/>
          <w:color w:val="000000"/>
          <w:sz w:val="32"/>
          <w:szCs w:val="32"/>
        </w:rPr>
        <w:t>子基金</w:t>
      </w:r>
      <w:proofErr w:type="gramEnd"/>
      <w:r>
        <w:rPr>
          <w:rFonts w:eastAsia="仿宋_GB2312"/>
          <w:color w:val="000000"/>
          <w:sz w:val="32"/>
          <w:szCs w:val="32"/>
        </w:rPr>
        <w:t>托管银行需要</w:t>
      </w:r>
      <w:r>
        <w:rPr>
          <w:rFonts w:eastAsia="仿宋_GB2312" w:hint="eastAsia"/>
          <w:color w:val="000000"/>
          <w:sz w:val="32"/>
          <w:szCs w:val="32"/>
        </w:rPr>
        <w:t>发展基金</w:t>
      </w:r>
      <w:r>
        <w:rPr>
          <w:rFonts w:eastAsia="仿宋_GB2312"/>
          <w:color w:val="000000"/>
          <w:sz w:val="32"/>
          <w:szCs w:val="32"/>
        </w:rPr>
        <w:t>受托管理机构出具的合</w:t>
      </w:r>
      <w:proofErr w:type="gramStart"/>
      <w:r>
        <w:rPr>
          <w:rFonts w:eastAsia="仿宋_GB2312"/>
          <w:color w:val="000000"/>
          <w:sz w:val="32"/>
          <w:szCs w:val="32"/>
        </w:rPr>
        <w:t>规</w:t>
      </w:r>
      <w:proofErr w:type="gramEnd"/>
      <w:r>
        <w:rPr>
          <w:rFonts w:eastAsia="仿宋_GB2312"/>
          <w:color w:val="000000"/>
          <w:sz w:val="32"/>
          <w:szCs w:val="32"/>
        </w:rPr>
        <w:t>性审查报告才能划拨投资款项。</w:t>
      </w:r>
    </w:p>
    <w:p w:rsidR="00C10A3B" w:rsidRDefault="00C10A3B" w:rsidP="00C10A3B">
      <w:pPr>
        <w:spacing w:line="600" w:lineRule="exact"/>
        <w:ind w:firstLineChars="200" w:firstLine="640"/>
        <w:rPr>
          <w:rFonts w:eastAsia="黑体"/>
          <w:color w:val="000000"/>
          <w:sz w:val="32"/>
          <w:szCs w:val="32"/>
        </w:rPr>
      </w:pPr>
      <w:r>
        <w:rPr>
          <w:rFonts w:eastAsia="黑体"/>
          <w:color w:val="000000"/>
          <w:sz w:val="32"/>
          <w:szCs w:val="32"/>
        </w:rPr>
        <w:t>五、发展基金退出方式</w:t>
      </w:r>
    </w:p>
    <w:p w:rsidR="00C10A3B" w:rsidRDefault="00C10A3B" w:rsidP="00C10A3B">
      <w:pPr>
        <w:spacing w:line="600" w:lineRule="exact"/>
        <w:ind w:firstLine="630"/>
        <w:rPr>
          <w:rFonts w:eastAsia="仿宋_GB2312"/>
          <w:sz w:val="32"/>
          <w:szCs w:val="32"/>
        </w:rPr>
      </w:pPr>
      <w:r>
        <w:rPr>
          <w:rFonts w:eastAsia="仿宋_GB2312"/>
          <w:color w:val="000000"/>
          <w:sz w:val="32"/>
          <w:szCs w:val="32"/>
        </w:rPr>
        <w:t>（一）</w:t>
      </w:r>
      <w:r>
        <w:rPr>
          <w:rFonts w:eastAsia="仿宋_GB2312"/>
          <w:sz w:val="32"/>
          <w:szCs w:val="32"/>
        </w:rPr>
        <w:t>在有受让人的情况下，</w:t>
      </w:r>
      <w:r>
        <w:rPr>
          <w:rFonts w:eastAsia="仿宋_GB2312" w:hint="eastAsia"/>
          <w:sz w:val="32"/>
          <w:szCs w:val="32"/>
        </w:rPr>
        <w:t>发展</w:t>
      </w:r>
      <w:r>
        <w:rPr>
          <w:rFonts w:eastAsia="仿宋_GB2312"/>
          <w:sz w:val="32"/>
          <w:szCs w:val="32"/>
        </w:rPr>
        <w:t>基金</w:t>
      </w:r>
      <w:r>
        <w:rPr>
          <w:rFonts w:eastAsia="仿宋_GB2312" w:hint="eastAsia"/>
          <w:sz w:val="32"/>
          <w:szCs w:val="32"/>
        </w:rPr>
        <w:t>受托制资金</w:t>
      </w:r>
      <w:r>
        <w:rPr>
          <w:rFonts w:eastAsia="仿宋_GB2312"/>
          <w:sz w:val="32"/>
          <w:szCs w:val="32"/>
        </w:rPr>
        <w:t>可适时退出子基金，其他出资人享有优先受</w:t>
      </w:r>
      <w:proofErr w:type="gramStart"/>
      <w:r>
        <w:rPr>
          <w:rFonts w:eastAsia="仿宋_GB2312"/>
          <w:sz w:val="32"/>
          <w:szCs w:val="32"/>
        </w:rPr>
        <w:t>让</w:t>
      </w:r>
      <w:r>
        <w:rPr>
          <w:rFonts w:eastAsia="仿宋_GB2312" w:hint="eastAsia"/>
          <w:sz w:val="32"/>
          <w:szCs w:val="32"/>
        </w:rPr>
        <w:t>发展</w:t>
      </w:r>
      <w:proofErr w:type="gramEnd"/>
      <w:r>
        <w:rPr>
          <w:rFonts w:eastAsia="仿宋_GB2312"/>
          <w:sz w:val="32"/>
          <w:szCs w:val="32"/>
        </w:rPr>
        <w:t>基金</w:t>
      </w:r>
      <w:r>
        <w:rPr>
          <w:rFonts w:eastAsia="仿宋_GB2312" w:hint="eastAsia"/>
          <w:sz w:val="32"/>
          <w:szCs w:val="32"/>
        </w:rPr>
        <w:t>所持有</w:t>
      </w:r>
      <w:r>
        <w:rPr>
          <w:rFonts w:eastAsia="仿宋_GB2312"/>
          <w:sz w:val="32"/>
          <w:szCs w:val="32"/>
        </w:rPr>
        <w:t>份额的权利。</w:t>
      </w:r>
      <w:r>
        <w:rPr>
          <w:rFonts w:eastAsia="仿宋_GB2312" w:hint="eastAsia"/>
          <w:sz w:val="32"/>
          <w:szCs w:val="32"/>
        </w:rPr>
        <w:t>发展</w:t>
      </w:r>
      <w:r>
        <w:rPr>
          <w:rFonts w:eastAsia="仿宋_GB2312"/>
          <w:sz w:val="32"/>
          <w:szCs w:val="32"/>
        </w:rPr>
        <w:t>基金</w:t>
      </w:r>
      <w:r>
        <w:rPr>
          <w:rFonts w:eastAsia="仿宋_GB2312" w:hint="eastAsia"/>
          <w:sz w:val="32"/>
          <w:szCs w:val="32"/>
        </w:rPr>
        <w:t>受托制资金按</w:t>
      </w:r>
      <w:r>
        <w:rPr>
          <w:rFonts w:eastAsia="仿宋_GB2312"/>
          <w:sz w:val="32"/>
          <w:szCs w:val="32"/>
        </w:rPr>
        <w:t>以下方式退出：</w:t>
      </w:r>
    </w:p>
    <w:p w:rsidR="00C10A3B" w:rsidRDefault="00C10A3B" w:rsidP="00C10A3B">
      <w:pPr>
        <w:spacing w:line="600" w:lineRule="exact"/>
        <w:ind w:firstLine="630"/>
        <w:rPr>
          <w:rFonts w:eastAsia="仿宋_GB2312"/>
          <w:sz w:val="32"/>
          <w:szCs w:val="32"/>
        </w:rPr>
      </w:pPr>
      <w:r>
        <w:rPr>
          <w:rFonts w:eastAsia="仿宋_GB2312" w:hint="eastAsia"/>
          <w:sz w:val="32"/>
          <w:szCs w:val="32"/>
        </w:rPr>
        <w:lastRenderedPageBreak/>
        <w:t>1</w:t>
      </w:r>
      <w:r>
        <w:rPr>
          <w:rFonts w:eastAsia="仿宋_GB2312"/>
          <w:sz w:val="32"/>
          <w:szCs w:val="32"/>
        </w:rPr>
        <w:t xml:space="preserve">. </w:t>
      </w:r>
      <w:r>
        <w:rPr>
          <w:rFonts w:eastAsia="仿宋_GB2312"/>
          <w:sz w:val="32"/>
          <w:szCs w:val="32"/>
        </w:rPr>
        <w:t>受托管理机构所持有</w:t>
      </w:r>
      <w:proofErr w:type="gramStart"/>
      <w:r>
        <w:rPr>
          <w:rFonts w:eastAsia="仿宋_GB2312"/>
          <w:sz w:val="32"/>
          <w:szCs w:val="32"/>
        </w:rPr>
        <w:t>子基金</w:t>
      </w:r>
      <w:proofErr w:type="gramEnd"/>
      <w:r>
        <w:rPr>
          <w:rFonts w:eastAsia="仿宋_GB2312" w:hint="eastAsia"/>
          <w:sz w:val="32"/>
          <w:szCs w:val="32"/>
        </w:rPr>
        <w:t>实缴</w:t>
      </w:r>
      <w:r>
        <w:rPr>
          <w:rFonts w:eastAsia="仿宋_GB2312"/>
          <w:sz w:val="32"/>
          <w:szCs w:val="32"/>
        </w:rPr>
        <w:t>份额在</w:t>
      </w:r>
      <w:r>
        <w:rPr>
          <w:rFonts w:eastAsia="仿宋_GB2312"/>
          <w:sz w:val="32"/>
          <w:szCs w:val="32"/>
        </w:rPr>
        <w:t>3</w:t>
      </w:r>
      <w:r>
        <w:rPr>
          <w:rFonts w:eastAsia="仿宋_GB2312"/>
          <w:sz w:val="32"/>
          <w:szCs w:val="32"/>
        </w:rPr>
        <w:t>年以内（含</w:t>
      </w:r>
      <w:r>
        <w:rPr>
          <w:rFonts w:eastAsia="仿宋_GB2312"/>
          <w:sz w:val="32"/>
          <w:szCs w:val="32"/>
        </w:rPr>
        <w:t>3</w:t>
      </w:r>
      <w:r>
        <w:rPr>
          <w:rFonts w:eastAsia="仿宋_GB2312"/>
          <w:sz w:val="32"/>
          <w:szCs w:val="32"/>
        </w:rPr>
        <w:t>年）的，转让价格参照</w:t>
      </w:r>
      <w:r>
        <w:rPr>
          <w:rFonts w:eastAsia="仿宋_GB2312" w:hint="eastAsia"/>
          <w:sz w:val="32"/>
          <w:szCs w:val="32"/>
        </w:rPr>
        <w:t>发展</w:t>
      </w:r>
      <w:r>
        <w:rPr>
          <w:rFonts w:eastAsia="仿宋_GB2312"/>
          <w:sz w:val="32"/>
          <w:szCs w:val="32"/>
        </w:rPr>
        <w:t>基金</w:t>
      </w:r>
      <w:r>
        <w:rPr>
          <w:rFonts w:eastAsia="仿宋_GB2312" w:hint="eastAsia"/>
          <w:sz w:val="32"/>
          <w:szCs w:val="32"/>
        </w:rPr>
        <w:t>受托制资金</w:t>
      </w:r>
      <w:r>
        <w:rPr>
          <w:rFonts w:eastAsia="仿宋_GB2312"/>
          <w:sz w:val="32"/>
          <w:szCs w:val="32"/>
        </w:rPr>
        <w:t>原始投资额确定；</w:t>
      </w:r>
    </w:p>
    <w:p w:rsidR="00C10A3B" w:rsidRDefault="00C10A3B" w:rsidP="00C10A3B">
      <w:pPr>
        <w:spacing w:line="600" w:lineRule="exact"/>
        <w:ind w:firstLine="630"/>
        <w:rPr>
          <w:rFonts w:eastAsia="仿宋_GB2312"/>
          <w:sz w:val="32"/>
          <w:szCs w:val="32"/>
        </w:rPr>
      </w:pPr>
      <w:r>
        <w:rPr>
          <w:rFonts w:eastAsia="仿宋_GB2312" w:hint="eastAsia"/>
          <w:sz w:val="32"/>
          <w:szCs w:val="32"/>
        </w:rPr>
        <w:t>2</w:t>
      </w:r>
      <w:r>
        <w:rPr>
          <w:rFonts w:eastAsia="仿宋_GB2312"/>
          <w:sz w:val="32"/>
          <w:szCs w:val="32"/>
        </w:rPr>
        <w:t xml:space="preserve">. </w:t>
      </w:r>
      <w:r>
        <w:rPr>
          <w:rFonts w:eastAsia="仿宋_GB2312"/>
          <w:sz w:val="32"/>
          <w:szCs w:val="32"/>
        </w:rPr>
        <w:t>受托管理机构所持有</w:t>
      </w:r>
      <w:proofErr w:type="gramStart"/>
      <w:r>
        <w:rPr>
          <w:rFonts w:eastAsia="仿宋_GB2312"/>
          <w:sz w:val="32"/>
          <w:szCs w:val="32"/>
        </w:rPr>
        <w:t>子基金</w:t>
      </w:r>
      <w:proofErr w:type="gramEnd"/>
      <w:r>
        <w:rPr>
          <w:rFonts w:eastAsia="仿宋_GB2312" w:hint="eastAsia"/>
          <w:sz w:val="32"/>
          <w:szCs w:val="32"/>
        </w:rPr>
        <w:t>实缴</w:t>
      </w:r>
      <w:r>
        <w:rPr>
          <w:rFonts w:eastAsia="仿宋_GB2312"/>
          <w:sz w:val="32"/>
          <w:szCs w:val="32"/>
        </w:rPr>
        <w:t>份额在</w:t>
      </w:r>
      <w:r>
        <w:rPr>
          <w:rFonts w:eastAsia="仿宋_GB2312"/>
          <w:sz w:val="32"/>
          <w:szCs w:val="32"/>
        </w:rPr>
        <w:t>3</w:t>
      </w:r>
      <w:r>
        <w:rPr>
          <w:rFonts w:eastAsia="仿宋_GB2312"/>
          <w:sz w:val="32"/>
          <w:szCs w:val="32"/>
        </w:rPr>
        <w:t>年以上</w:t>
      </w:r>
      <w:r>
        <w:rPr>
          <w:rFonts w:eastAsia="仿宋_GB2312"/>
          <w:sz w:val="32"/>
          <w:szCs w:val="32"/>
        </w:rPr>
        <w:t>5</w:t>
      </w:r>
      <w:r>
        <w:rPr>
          <w:rFonts w:eastAsia="仿宋_GB2312"/>
          <w:sz w:val="32"/>
          <w:szCs w:val="32"/>
        </w:rPr>
        <w:t>年以内（含</w:t>
      </w:r>
      <w:r>
        <w:rPr>
          <w:rFonts w:eastAsia="仿宋_GB2312"/>
          <w:sz w:val="32"/>
          <w:szCs w:val="32"/>
        </w:rPr>
        <w:t>5</w:t>
      </w:r>
      <w:r>
        <w:rPr>
          <w:rFonts w:eastAsia="仿宋_GB2312"/>
          <w:sz w:val="32"/>
          <w:szCs w:val="32"/>
        </w:rPr>
        <w:t>年）的，如</w:t>
      </w:r>
      <w:r>
        <w:rPr>
          <w:rFonts w:eastAsia="仿宋_GB2312" w:hint="eastAsia"/>
          <w:sz w:val="32"/>
          <w:szCs w:val="32"/>
        </w:rPr>
        <w:t>已获得</w:t>
      </w:r>
      <w:r>
        <w:rPr>
          <w:rFonts w:eastAsia="仿宋_GB2312"/>
          <w:sz w:val="32"/>
          <w:szCs w:val="32"/>
        </w:rPr>
        <w:t>累计分红高于</w:t>
      </w:r>
      <w:r>
        <w:rPr>
          <w:rFonts w:eastAsia="仿宋_GB2312" w:hint="eastAsia"/>
          <w:sz w:val="32"/>
          <w:szCs w:val="32"/>
        </w:rPr>
        <w:t>或等于基准收益（基准收益指发展基金所持有实缴份额期间按</w:t>
      </w:r>
      <w:r>
        <w:rPr>
          <w:rFonts w:eastAsia="仿宋_GB2312"/>
          <w:sz w:val="32"/>
          <w:szCs w:val="32"/>
        </w:rPr>
        <w:t>同期</w:t>
      </w:r>
      <w:r>
        <w:rPr>
          <w:rFonts w:eastAsia="仿宋_GB2312" w:hint="eastAsia"/>
          <w:sz w:val="32"/>
          <w:szCs w:val="32"/>
        </w:rPr>
        <w:t>储蓄式国债收益率计算的收益）</w:t>
      </w:r>
      <w:r>
        <w:rPr>
          <w:rFonts w:eastAsia="仿宋_GB2312"/>
          <w:sz w:val="32"/>
          <w:szCs w:val="32"/>
        </w:rPr>
        <w:t>，转让价格参照</w:t>
      </w:r>
      <w:r>
        <w:rPr>
          <w:rFonts w:eastAsia="仿宋_GB2312" w:hint="eastAsia"/>
          <w:sz w:val="32"/>
          <w:szCs w:val="32"/>
        </w:rPr>
        <w:t>发展</w:t>
      </w:r>
      <w:r>
        <w:rPr>
          <w:rFonts w:eastAsia="仿宋_GB2312"/>
          <w:sz w:val="32"/>
          <w:szCs w:val="32"/>
        </w:rPr>
        <w:t>基金</w:t>
      </w:r>
      <w:r>
        <w:rPr>
          <w:rFonts w:eastAsia="仿宋_GB2312" w:hint="eastAsia"/>
          <w:sz w:val="32"/>
          <w:szCs w:val="32"/>
        </w:rPr>
        <w:t>受托制资金</w:t>
      </w:r>
      <w:r>
        <w:rPr>
          <w:rFonts w:eastAsia="仿宋_GB2312"/>
          <w:sz w:val="32"/>
          <w:szCs w:val="32"/>
        </w:rPr>
        <w:t>原始投资额确定；如累计分红</w:t>
      </w:r>
      <w:r>
        <w:rPr>
          <w:rFonts w:eastAsia="仿宋_GB2312" w:hint="eastAsia"/>
          <w:sz w:val="32"/>
          <w:szCs w:val="32"/>
        </w:rPr>
        <w:t>低于基准收益</w:t>
      </w:r>
      <w:r>
        <w:rPr>
          <w:rFonts w:eastAsia="仿宋_GB2312"/>
          <w:sz w:val="32"/>
          <w:szCs w:val="32"/>
        </w:rPr>
        <w:t>，则转让价格不低于原始投资额加上</w:t>
      </w:r>
      <w:r>
        <w:rPr>
          <w:rFonts w:eastAsia="仿宋_GB2312" w:hint="eastAsia"/>
          <w:sz w:val="32"/>
          <w:szCs w:val="32"/>
        </w:rPr>
        <w:t>基准收益</w:t>
      </w:r>
      <w:r>
        <w:rPr>
          <w:rFonts w:eastAsia="仿宋_GB2312"/>
          <w:sz w:val="32"/>
          <w:szCs w:val="32"/>
        </w:rPr>
        <w:t>与累计分红的差额之和；</w:t>
      </w:r>
    </w:p>
    <w:p w:rsidR="00C10A3B" w:rsidRDefault="00C10A3B" w:rsidP="00C10A3B">
      <w:pPr>
        <w:spacing w:line="600" w:lineRule="exact"/>
        <w:ind w:firstLine="63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rPr>
        <w:t>受托管理机构所持有</w:t>
      </w:r>
      <w:proofErr w:type="gramStart"/>
      <w:r>
        <w:rPr>
          <w:rFonts w:eastAsia="仿宋_GB2312"/>
          <w:sz w:val="32"/>
          <w:szCs w:val="32"/>
        </w:rPr>
        <w:t>子基金</w:t>
      </w:r>
      <w:proofErr w:type="gramEnd"/>
      <w:r>
        <w:rPr>
          <w:rFonts w:eastAsia="仿宋_GB2312" w:hint="eastAsia"/>
          <w:sz w:val="32"/>
          <w:szCs w:val="32"/>
        </w:rPr>
        <w:t>实缴</w:t>
      </w:r>
      <w:r>
        <w:rPr>
          <w:rFonts w:eastAsia="仿宋_GB2312"/>
          <w:sz w:val="32"/>
          <w:szCs w:val="32"/>
        </w:rPr>
        <w:t>份额超过</w:t>
      </w:r>
      <w:r>
        <w:rPr>
          <w:rFonts w:eastAsia="仿宋_GB2312"/>
          <w:sz w:val="32"/>
          <w:szCs w:val="32"/>
        </w:rPr>
        <w:t>5</w:t>
      </w:r>
      <w:r>
        <w:rPr>
          <w:rFonts w:eastAsia="仿宋_GB2312"/>
          <w:sz w:val="32"/>
          <w:szCs w:val="32"/>
        </w:rPr>
        <w:t>年的，转让价格按公共财政原则和</w:t>
      </w:r>
      <w:r>
        <w:rPr>
          <w:rFonts w:eastAsia="仿宋_GB2312" w:hint="eastAsia"/>
          <w:sz w:val="32"/>
          <w:szCs w:val="32"/>
        </w:rPr>
        <w:t>发展</w:t>
      </w:r>
      <w:r>
        <w:rPr>
          <w:rFonts w:eastAsia="仿宋_GB2312"/>
          <w:sz w:val="32"/>
          <w:szCs w:val="32"/>
        </w:rPr>
        <w:t>基金</w:t>
      </w:r>
      <w:r>
        <w:rPr>
          <w:rFonts w:eastAsia="仿宋_GB2312" w:hint="eastAsia"/>
          <w:sz w:val="32"/>
          <w:szCs w:val="32"/>
        </w:rPr>
        <w:t>受托制资金</w:t>
      </w:r>
      <w:r>
        <w:rPr>
          <w:rFonts w:eastAsia="仿宋_GB2312"/>
          <w:sz w:val="32"/>
          <w:szCs w:val="32"/>
        </w:rPr>
        <w:t>的运作要求，按照市场化方式退出。</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t>（二）</w:t>
      </w:r>
      <w:r>
        <w:rPr>
          <w:rFonts w:eastAsia="仿宋_GB2312" w:hint="eastAsia"/>
          <w:sz w:val="32"/>
          <w:szCs w:val="32"/>
        </w:rPr>
        <w:t>发展基金公司制资金对子基金的出资与其他资本同股同权，并按照市场化方式退出。</w:t>
      </w:r>
    </w:p>
    <w:p w:rsidR="00C10A3B" w:rsidRDefault="00C10A3B" w:rsidP="00C10A3B">
      <w:pPr>
        <w:spacing w:line="600" w:lineRule="exact"/>
        <w:ind w:firstLineChars="200" w:firstLine="640"/>
        <w:rPr>
          <w:rFonts w:eastAsia="仿宋_GB2312"/>
          <w:color w:val="000000"/>
          <w:sz w:val="32"/>
          <w:szCs w:val="32"/>
        </w:rPr>
      </w:pPr>
      <w:r>
        <w:rPr>
          <w:rFonts w:eastAsia="仿宋_GB2312" w:hint="eastAsia"/>
          <w:color w:val="000000"/>
          <w:sz w:val="32"/>
          <w:szCs w:val="32"/>
        </w:rPr>
        <w:t>（三）</w:t>
      </w:r>
      <w:r>
        <w:rPr>
          <w:rFonts w:eastAsia="仿宋_GB2312"/>
          <w:color w:val="000000"/>
          <w:sz w:val="32"/>
          <w:szCs w:val="32"/>
        </w:rPr>
        <w:t>子基金发生清算时（包括解散和破产），按照法律程序清偿债权人的债权后，剩余财产按照同股同权原则分配。</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四</w:t>
      </w:r>
      <w:r>
        <w:rPr>
          <w:rFonts w:eastAsia="仿宋_GB2312"/>
          <w:color w:val="000000"/>
          <w:sz w:val="32"/>
          <w:szCs w:val="32"/>
        </w:rPr>
        <w:t>）</w:t>
      </w:r>
      <w:r>
        <w:rPr>
          <w:rFonts w:eastAsia="仿宋_GB2312" w:hint="eastAsia"/>
          <w:sz w:val="32"/>
          <w:szCs w:val="32"/>
        </w:rPr>
        <w:t>在合作协议中应当约定，有下述情况之一的，发展基金可无需其他出资人同意，选择提前退出</w:t>
      </w:r>
      <w:r>
        <w:rPr>
          <w:rFonts w:eastAsia="仿宋_GB2312"/>
          <w:color w:val="000000"/>
          <w:sz w:val="32"/>
          <w:szCs w:val="32"/>
        </w:rPr>
        <w:t>：</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w:t>
      </w:r>
      <w:proofErr w:type="gramStart"/>
      <w:r>
        <w:rPr>
          <w:rFonts w:eastAsia="仿宋_GB2312"/>
          <w:color w:val="000000"/>
          <w:sz w:val="32"/>
          <w:szCs w:val="32"/>
        </w:rPr>
        <w:t>子基金</w:t>
      </w:r>
      <w:proofErr w:type="gramEnd"/>
      <w:r>
        <w:rPr>
          <w:rFonts w:eastAsia="仿宋_GB2312"/>
          <w:color w:val="000000"/>
          <w:sz w:val="32"/>
          <w:szCs w:val="32"/>
        </w:rPr>
        <w:t>组建方案获得批复后超过一年，未按规定程序要求完成设立手续的；</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．政府出资拨付</w:t>
      </w:r>
      <w:proofErr w:type="gramStart"/>
      <w:r>
        <w:rPr>
          <w:rFonts w:eastAsia="仿宋_GB2312"/>
          <w:color w:val="000000"/>
          <w:sz w:val="32"/>
          <w:szCs w:val="32"/>
        </w:rPr>
        <w:t>子基金</w:t>
      </w:r>
      <w:proofErr w:type="gramEnd"/>
      <w:r>
        <w:rPr>
          <w:rFonts w:eastAsia="仿宋_GB2312"/>
          <w:color w:val="000000"/>
          <w:sz w:val="32"/>
          <w:szCs w:val="32"/>
        </w:rPr>
        <w:t>账户一年以上，</w:t>
      </w:r>
      <w:proofErr w:type="gramStart"/>
      <w:r>
        <w:rPr>
          <w:rFonts w:eastAsia="仿宋_GB2312"/>
          <w:color w:val="000000"/>
          <w:sz w:val="32"/>
          <w:szCs w:val="32"/>
        </w:rPr>
        <w:t>子基金未</w:t>
      </w:r>
      <w:proofErr w:type="gramEnd"/>
      <w:r>
        <w:rPr>
          <w:rFonts w:eastAsia="仿宋_GB2312"/>
          <w:color w:val="000000"/>
          <w:sz w:val="32"/>
          <w:szCs w:val="32"/>
        </w:rPr>
        <w:t>开展投资业务的；</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w:t>
      </w:r>
      <w:proofErr w:type="gramStart"/>
      <w:r>
        <w:rPr>
          <w:rFonts w:eastAsia="仿宋_GB2312"/>
          <w:color w:val="000000"/>
          <w:sz w:val="32"/>
          <w:szCs w:val="32"/>
        </w:rPr>
        <w:t>子基金</w:t>
      </w:r>
      <w:proofErr w:type="gramEnd"/>
      <w:r>
        <w:rPr>
          <w:rFonts w:eastAsia="仿宋_GB2312"/>
          <w:color w:val="000000"/>
          <w:sz w:val="32"/>
          <w:szCs w:val="32"/>
        </w:rPr>
        <w:t>投资领域和方向不符合政策目标的；</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lastRenderedPageBreak/>
        <w:t>4</w:t>
      </w:r>
      <w:r>
        <w:rPr>
          <w:rFonts w:eastAsia="仿宋_GB2312"/>
          <w:color w:val="000000"/>
          <w:sz w:val="32"/>
          <w:szCs w:val="32"/>
        </w:rPr>
        <w:t>．</w:t>
      </w:r>
      <w:proofErr w:type="gramStart"/>
      <w:r>
        <w:rPr>
          <w:rFonts w:eastAsia="仿宋_GB2312"/>
          <w:color w:val="000000"/>
          <w:sz w:val="32"/>
          <w:szCs w:val="32"/>
        </w:rPr>
        <w:t>子基金未</w:t>
      </w:r>
      <w:proofErr w:type="gramEnd"/>
      <w:r>
        <w:rPr>
          <w:rFonts w:eastAsia="仿宋_GB2312"/>
          <w:color w:val="000000"/>
          <w:sz w:val="32"/>
          <w:szCs w:val="32"/>
        </w:rPr>
        <w:t>按合伙协议约定投资的；</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．其他不符合约定情形的。</w:t>
      </w:r>
    </w:p>
    <w:p w:rsidR="00C10A3B" w:rsidRDefault="00C10A3B" w:rsidP="00C10A3B">
      <w:pPr>
        <w:spacing w:line="600" w:lineRule="exact"/>
        <w:ind w:firstLineChars="200" w:firstLine="640"/>
        <w:rPr>
          <w:rFonts w:eastAsia="黑体"/>
          <w:color w:val="000000"/>
          <w:sz w:val="32"/>
          <w:szCs w:val="32"/>
        </w:rPr>
      </w:pPr>
      <w:r>
        <w:rPr>
          <w:rFonts w:eastAsia="黑体"/>
          <w:color w:val="000000"/>
          <w:sz w:val="32"/>
          <w:szCs w:val="32"/>
        </w:rPr>
        <w:t>六、申请材料</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t>（一）请按照广州市工业和信息化发展基金申报材料规定的内容提交申请。</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t>（二）申报材料纸质版一式三份（用</w:t>
      </w:r>
      <w:r>
        <w:rPr>
          <w:rFonts w:eastAsia="仿宋_GB2312"/>
          <w:color w:val="000000"/>
          <w:sz w:val="32"/>
          <w:szCs w:val="32"/>
        </w:rPr>
        <w:t>A4</w:t>
      </w:r>
      <w:r>
        <w:rPr>
          <w:rFonts w:eastAsia="仿宋_GB2312"/>
          <w:color w:val="000000"/>
          <w:sz w:val="32"/>
          <w:szCs w:val="32"/>
        </w:rPr>
        <w:t>纸张标准准备），全部提交报送至广州市工业和信息化局中小企业处，联系人：</w:t>
      </w:r>
      <w:r>
        <w:rPr>
          <w:rFonts w:eastAsia="仿宋_GB2312" w:hint="eastAsia"/>
          <w:color w:val="000000"/>
          <w:sz w:val="32"/>
          <w:szCs w:val="32"/>
        </w:rPr>
        <w:t>【</w:t>
      </w:r>
      <w:r>
        <w:rPr>
          <w:rFonts w:eastAsia="仿宋_GB2312" w:hint="eastAsia"/>
          <w:color w:val="000000"/>
          <w:sz w:val="32"/>
          <w:szCs w:val="32"/>
        </w:rPr>
        <w:t xml:space="preserve"> </w:t>
      </w:r>
      <w:r>
        <w:rPr>
          <w:rFonts w:eastAsia="仿宋_GB2312"/>
          <w:color w:val="000000"/>
          <w:sz w:val="32"/>
          <w:szCs w:val="32"/>
        </w:rPr>
        <w:t xml:space="preserve"> </w:t>
      </w:r>
      <w:r>
        <w:rPr>
          <w:rFonts w:eastAsia="仿宋_GB2312" w:hint="eastAsia"/>
          <w:color w:val="000000"/>
          <w:sz w:val="32"/>
          <w:szCs w:val="32"/>
        </w:rPr>
        <w:t>】</w:t>
      </w:r>
      <w:r>
        <w:rPr>
          <w:rFonts w:eastAsia="仿宋_GB2312"/>
          <w:color w:val="000000"/>
          <w:sz w:val="32"/>
          <w:szCs w:val="32"/>
        </w:rPr>
        <w:t>，联系电话：</w:t>
      </w:r>
      <w:r>
        <w:rPr>
          <w:rFonts w:eastAsia="仿宋_GB2312" w:hint="eastAsia"/>
          <w:color w:val="000000"/>
          <w:sz w:val="32"/>
          <w:szCs w:val="32"/>
        </w:rPr>
        <w:t>【</w:t>
      </w:r>
      <w:r>
        <w:rPr>
          <w:rFonts w:eastAsia="仿宋_GB2312" w:hint="eastAsia"/>
          <w:color w:val="000000"/>
          <w:sz w:val="32"/>
          <w:szCs w:val="32"/>
        </w:rPr>
        <w:t xml:space="preserve"> </w:t>
      </w:r>
      <w:r>
        <w:rPr>
          <w:rFonts w:eastAsia="仿宋_GB2312" w:hint="eastAsia"/>
          <w:color w:val="000000"/>
          <w:sz w:val="32"/>
          <w:szCs w:val="32"/>
        </w:rPr>
        <w:t>】</w:t>
      </w:r>
      <w:r>
        <w:rPr>
          <w:rFonts w:eastAsia="仿宋_GB2312"/>
          <w:color w:val="000000"/>
          <w:sz w:val="32"/>
          <w:szCs w:val="32"/>
        </w:rPr>
        <w:t>，地址：广州市府前路</w:t>
      </w:r>
      <w:r>
        <w:rPr>
          <w:rFonts w:eastAsia="仿宋_GB2312"/>
          <w:color w:val="000000"/>
          <w:sz w:val="32"/>
          <w:szCs w:val="32"/>
        </w:rPr>
        <w:t>1</w:t>
      </w:r>
      <w:r>
        <w:rPr>
          <w:rFonts w:eastAsia="仿宋_GB2312"/>
          <w:color w:val="000000"/>
          <w:sz w:val="32"/>
          <w:szCs w:val="32"/>
        </w:rPr>
        <w:t>号市府大院综合楼</w:t>
      </w:r>
      <w:r>
        <w:rPr>
          <w:rFonts w:eastAsia="仿宋_GB2312"/>
          <w:color w:val="000000"/>
          <w:sz w:val="32"/>
          <w:szCs w:val="32"/>
        </w:rPr>
        <w:t>702</w:t>
      </w:r>
      <w:r>
        <w:rPr>
          <w:rFonts w:eastAsia="仿宋_GB2312"/>
          <w:color w:val="000000"/>
          <w:sz w:val="32"/>
          <w:szCs w:val="32"/>
        </w:rPr>
        <w:t>，电子版请发送至邮箱</w:t>
      </w:r>
      <w:r>
        <w:rPr>
          <w:rFonts w:eastAsia="仿宋_GB2312" w:hint="eastAsia"/>
          <w:color w:val="000000"/>
          <w:sz w:val="32"/>
          <w:szCs w:val="32"/>
        </w:rPr>
        <w:t>【</w:t>
      </w:r>
      <w:r>
        <w:rPr>
          <w:rFonts w:eastAsia="仿宋_GB2312" w:hint="eastAsia"/>
          <w:color w:val="000000"/>
          <w:sz w:val="32"/>
          <w:szCs w:val="32"/>
        </w:rPr>
        <w:t xml:space="preserve"> </w:t>
      </w:r>
      <w:r>
        <w:rPr>
          <w:rFonts w:eastAsia="仿宋_GB2312"/>
          <w:color w:val="000000"/>
          <w:sz w:val="32"/>
          <w:szCs w:val="32"/>
        </w:rPr>
        <w:t xml:space="preserve"> </w:t>
      </w:r>
      <w:r>
        <w:rPr>
          <w:rFonts w:eastAsia="仿宋_GB2312" w:hint="eastAsia"/>
          <w:color w:val="000000"/>
          <w:sz w:val="32"/>
          <w:szCs w:val="32"/>
        </w:rPr>
        <w:t>】</w:t>
      </w:r>
      <w:r>
        <w:rPr>
          <w:rFonts w:eastAsia="仿宋_GB2312"/>
          <w:color w:val="000000"/>
          <w:sz w:val="32"/>
          <w:szCs w:val="32"/>
        </w:rPr>
        <w:t>。</w:t>
      </w:r>
    </w:p>
    <w:p w:rsidR="00C10A3B" w:rsidRDefault="00C10A3B" w:rsidP="00C10A3B">
      <w:pPr>
        <w:spacing w:line="600" w:lineRule="exact"/>
        <w:ind w:firstLineChars="200" w:firstLine="640"/>
        <w:rPr>
          <w:rFonts w:eastAsia="仿宋_GB2312"/>
          <w:color w:val="000000"/>
          <w:sz w:val="32"/>
          <w:szCs w:val="32"/>
        </w:rPr>
      </w:pPr>
      <w:r>
        <w:rPr>
          <w:rFonts w:eastAsia="仿宋_GB2312"/>
          <w:color w:val="000000"/>
          <w:sz w:val="32"/>
          <w:szCs w:val="32"/>
        </w:rPr>
        <w:t>受托管理机构联系人：</w:t>
      </w:r>
      <w:r>
        <w:rPr>
          <w:rFonts w:eastAsia="仿宋_GB2312" w:hint="eastAsia"/>
          <w:color w:val="000000"/>
          <w:sz w:val="32"/>
          <w:szCs w:val="32"/>
        </w:rPr>
        <w:t>【</w:t>
      </w:r>
      <w:r>
        <w:rPr>
          <w:rFonts w:eastAsia="仿宋_GB2312" w:hint="eastAsia"/>
          <w:color w:val="000000"/>
          <w:sz w:val="32"/>
          <w:szCs w:val="32"/>
        </w:rPr>
        <w:t xml:space="preserve">  </w:t>
      </w:r>
      <w:r>
        <w:rPr>
          <w:rFonts w:eastAsia="仿宋_GB2312" w:hint="eastAsia"/>
          <w:color w:val="000000"/>
          <w:sz w:val="32"/>
          <w:szCs w:val="32"/>
        </w:rPr>
        <w:t>】</w:t>
      </w:r>
      <w:r>
        <w:rPr>
          <w:rFonts w:eastAsia="仿宋_GB2312"/>
          <w:color w:val="000000"/>
          <w:sz w:val="32"/>
          <w:szCs w:val="32"/>
        </w:rPr>
        <w:t>，联系电话：</w:t>
      </w:r>
      <w:r>
        <w:rPr>
          <w:rFonts w:eastAsia="仿宋_GB2312" w:hint="eastAsia"/>
          <w:color w:val="000000"/>
          <w:sz w:val="32"/>
          <w:szCs w:val="32"/>
        </w:rPr>
        <w:t>【</w:t>
      </w:r>
      <w:r>
        <w:rPr>
          <w:rFonts w:eastAsia="仿宋_GB2312" w:hint="eastAsia"/>
          <w:color w:val="000000"/>
          <w:sz w:val="32"/>
          <w:szCs w:val="32"/>
        </w:rPr>
        <w:t xml:space="preserve"> </w:t>
      </w:r>
      <w:r>
        <w:rPr>
          <w:rFonts w:eastAsia="仿宋_GB2312"/>
          <w:color w:val="000000"/>
          <w:sz w:val="32"/>
          <w:szCs w:val="32"/>
        </w:rPr>
        <w:t xml:space="preserve"> </w:t>
      </w:r>
      <w:r>
        <w:rPr>
          <w:rFonts w:eastAsia="仿宋_GB2312" w:hint="eastAsia"/>
          <w:color w:val="000000"/>
          <w:sz w:val="32"/>
          <w:szCs w:val="32"/>
        </w:rPr>
        <w:t>】</w:t>
      </w:r>
    </w:p>
    <w:p w:rsidR="00C10A3B" w:rsidRDefault="00C10A3B" w:rsidP="00C10A3B">
      <w:pPr>
        <w:spacing w:line="600" w:lineRule="exact"/>
        <w:ind w:firstLineChars="200" w:firstLine="640"/>
        <w:rPr>
          <w:rFonts w:eastAsia="仿宋_GB2312"/>
          <w:color w:val="000000"/>
          <w:sz w:val="32"/>
          <w:szCs w:val="32"/>
        </w:rPr>
      </w:pPr>
      <w:r>
        <w:rPr>
          <w:rFonts w:eastAsia="仿宋_GB2312" w:hint="eastAsia"/>
          <w:color w:val="000000"/>
          <w:sz w:val="32"/>
          <w:szCs w:val="32"/>
        </w:rPr>
        <w:t>（三）受理时间：实行常年受理、集中评审机制，原则上每年</w:t>
      </w:r>
      <w:r>
        <w:rPr>
          <w:rFonts w:eastAsia="仿宋_GB2312"/>
          <w:color w:val="000000"/>
          <w:sz w:val="32"/>
          <w:szCs w:val="32"/>
        </w:rPr>
        <w:t>4</w:t>
      </w:r>
      <w:r>
        <w:rPr>
          <w:rFonts w:eastAsia="仿宋_GB2312"/>
          <w:color w:val="000000"/>
          <w:sz w:val="32"/>
          <w:szCs w:val="32"/>
        </w:rPr>
        <w:t>月和</w:t>
      </w:r>
      <w:r>
        <w:rPr>
          <w:rFonts w:eastAsia="仿宋_GB2312"/>
          <w:color w:val="000000"/>
          <w:sz w:val="32"/>
          <w:szCs w:val="32"/>
        </w:rPr>
        <w:t>9</w:t>
      </w:r>
      <w:r>
        <w:rPr>
          <w:rFonts w:eastAsia="仿宋_GB2312"/>
          <w:color w:val="000000"/>
          <w:sz w:val="32"/>
          <w:szCs w:val="32"/>
        </w:rPr>
        <w:t>月</w:t>
      </w:r>
      <w:r>
        <w:rPr>
          <w:rFonts w:eastAsia="仿宋_GB2312" w:hint="eastAsia"/>
          <w:color w:val="000000"/>
          <w:sz w:val="32"/>
          <w:szCs w:val="32"/>
        </w:rPr>
        <w:t>左右</w:t>
      </w:r>
      <w:r>
        <w:rPr>
          <w:rFonts w:eastAsia="仿宋_GB2312"/>
          <w:color w:val="000000"/>
          <w:sz w:val="32"/>
          <w:szCs w:val="32"/>
        </w:rPr>
        <w:t>各组织一次专家评审</w:t>
      </w:r>
      <w:r>
        <w:rPr>
          <w:rFonts w:eastAsia="仿宋_GB2312" w:hint="eastAsia"/>
          <w:color w:val="000000"/>
          <w:sz w:val="32"/>
          <w:szCs w:val="32"/>
        </w:rPr>
        <w:t>。</w:t>
      </w:r>
    </w:p>
    <w:p w:rsidR="00C10A3B" w:rsidRDefault="00C10A3B" w:rsidP="00C10A3B">
      <w:pPr>
        <w:spacing w:line="600" w:lineRule="exact"/>
        <w:ind w:firstLineChars="200" w:firstLine="420"/>
        <w:rPr>
          <w:color w:val="000000"/>
        </w:rPr>
      </w:pPr>
    </w:p>
    <w:p w:rsidR="00C10A3B" w:rsidRDefault="00C10A3B" w:rsidP="00C10A3B">
      <w:pPr>
        <w:spacing w:line="600" w:lineRule="exact"/>
        <w:ind w:firstLineChars="200" w:firstLine="420"/>
        <w:rPr>
          <w:color w:val="000000"/>
        </w:rPr>
      </w:pPr>
    </w:p>
    <w:p w:rsidR="00C10A3B" w:rsidRDefault="00C10A3B" w:rsidP="00C10A3B">
      <w:pPr>
        <w:spacing w:line="600" w:lineRule="exact"/>
        <w:ind w:firstLineChars="200" w:firstLine="420"/>
        <w:rPr>
          <w:color w:val="000000"/>
        </w:rPr>
      </w:pPr>
    </w:p>
    <w:p w:rsidR="00C10A3B" w:rsidRDefault="00C10A3B" w:rsidP="00C10A3B">
      <w:pPr>
        <w:spacing w:line="600" w:lineRule="exact"/>
        <w:ind w:firstLineChars="1500" w:firstLine="4800"/>
        <w:jc w:val="left"/>
        <w:rPr>
          <w:rFonts w:eastAsia="仿宋_GB2312"/>
          <w:color w:val="000000"/>
          <w:sz w:val="32"/>
          <w:szCs w:val="32"/>
        </w:rPr>
      </w:pPr>
      <w:r>
        <w:rPr>
          <w:rFonts w:eastAsia="仿宋_GB2312"/>
          <w:color w:val="000000"/>
          <w:sz w:val="32"/>
          <w:szCs w:val="32"/>
        </w:rPr>
        <w:t>广州市工业和信息化局</w:t>
      </w:r>
    </w:p>
    <w:p w:rsidR="00464C6C" w:rsidRDefault="00C10A3B">
      <w:bookmarkStart w:id="0" w:name="_GoBack"/>
      <w:bookmarkEnd w:id="0"/>
    </w:p>
    <w:sectPr w:rsidR="00464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3B"/>
    <w:rsid w:val="000058BB"/>
    <w:rsid w:val="00C10A3B"/>
    <w:rsid w:val="00D92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D90AE-CA40-4167-8922-611AE5B4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A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327</Words>
  <Characters>1867</Characters>
  <Application>Microsoft Office Word</Application>
  <DocSecurity>0</DocSecurity>
  <Lines>15</Lines>
  <Paragraphs>4</Paragraphs>
  <ScaleCrop>false</ScaleCrop>
  <Company>Hewlett-Packard Company</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刘志</dc:creator>
  <cp:keywords/>
  <dc:description/>
  <cp:lastModifiedBy>刘志</cp:lastModifiedBy>
  <cp:revision>1</cp:revision>
  <dcterms:created xsi:type="dcterms:W3CDTF">2021-05-13T06:36:00Z</dcterms:created>
  <dcterms:modified xsi:type="dcterms:W3CDTF">2021-05-13T06:37:00Z</dcterms:modified>
</cp:coreProperties>
</file>