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02" w:rsidRDefault="009B3402" w:rsidP="009B3402">
      <w:pPr>
        <w:rPr>
          <w:rFonts w:eastAsia="方正小标宋_GBK"/>
          <w:bCs/>
          <w:sz w:val="40"/>
          <w:szCs w:val="40"/>
        </w:rPr>
      </w:pPr>
      <w:r>
        <w:rPr>
          <w:rFonts w:eastAsia="黑体" w:hint="eastAsia"/>
          <w:bCs/>
          <w:sz w:val="30"/>
          <w:szCs w:val="30"/>
        </w:rPr>
        <w:t>附件</w:t>
      </w:r>
      <w:r>
        <w:rPr>
          <w:rFonts w:eastAsia="黑体"/>
          <w:bCs/>
          <w:sz w:val="30"/>
          <w:szCs w:val="30"/>
        </w:rPr>
        <w:t xml:space="preserve"> 1</w:t>
      </w:r>
    </w:p>
    <w:p w:rsidR="009B3402" w:rsidRDefault="009B3402" w:rsidP="009B3402">
      <w:pPr>
        <w:adjustRightInd w:val="0"/>
        <w:snapToGrid w:val="0"/>
        <w:spacing w:line="336" w:lineRule="auto"/>
        <w:ind w:firstLine="480"/>
        <w:jc w:val="center"/>
        <w:rPr>
          <w:rFonts w:eastAsia="方正小标宋_GBK"/>
          <w:kern w:val="0"/>
          <w:sz w:val="40"/>
          <w:szCs w:val="40"/>
        </w:rPr>
      </w:pPr>
      <w:bookmarkStart w:id="0" w:name="_GoBack"/>
      <w:r>
        <w:rPr>
          <w:rFonts w:eastAsia="方正小标宋_GBK" w:hint="eastAsia"/>
          <w:kern w:val="0"/>
          <w:sz w:val="40"/>
          <w:szCs w:val="40"/>
        </w:rPr>
        <w:t>广州市工业用地规划控制指标表</w:t>
      </w: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1"/>
        <w:gridCol w:w="1675"/>
        <w:gridCol w:w="895"/>
        <w:gridCol w:w="919"/>
        <w:gridCol w:w="966"/>
        <w:gridCol w:w="1020"/>
        <w:gridCol w:w="2160"/>
        <w:gridCol w:w="990"/>
      </w:tblGrid>
      <w:tr w:rsidR="009B3402" w:rsidTr="00D31FE8">
        <w:trPr>
          <w:trHeight w:val="744"/>
          <w:jc w:val="center"/>
        </w:trPr>
        <w:tc>
          <w:tcPr>
            <w:tcW w:w="2226" w:type="dxa"/>
            <w:gridSpan w:val="2"/>
            <w:vAlign w:val="center"/>
          </w:tcPr>
          <w:bookmarkEnd w:id="0"/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类型</w:t>
            </w:r>
          </w:p>
        </w:tc>
        <w:tc>
          <w:tcPr>
            <w:tcW w:w="89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容积率上限</w:t>
            </w:r>
          </w:p>
        </w:tc>
        <w:tc>
          <w:tcPr>
            <w:tcW w:w="919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容积率下限</w:t>
            </w:r>
          </w:p>
        </w:tc>
        <w:tc>
          <w:tcPr>
            <w:tcW w:w="966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建筑密度上限</w:t>
            </w:r>
          </w:p>
        </w:tc>
        <w:tc>
          <w:tcPr>
            <w:tcW w:w="1020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建筑密度下限</w:t>
            </w:r>
          </w:p>
        </w:tc>
        <w:tc>
          <w:tcPr>
            <w:tcW w:w="2160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建筑限高</w:t>
            </w:r>
          </w:p>
        </w:tc>
        <w:tc>
          <w:tcPr>
            <w:tcW w:w="990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绿地率</w:t>
            </w:r>
          </w:p>
        </w:tc>
      </w:tr>
      <w:tr w:rsidR="009B3402" w:rsidTr="00D31FE8">
        <w:trPr>
          <w:jc w:val="center"/>
        </w:trPr>
        <w:tc>
          <w:tcPr>
            <w:tcW w:w="551" w:type="dxa"/>
            <w:vMerge w:val="restart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工业产业区块内</w:t>
            </w:r>
          </w:p>
        </w:tc>
        <w:tc>
          <w:tcPr>
            <w:tcW w:w="167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新型产业用地（</w:t>
            </w:r>
            <w:r>
              <w:rPr>
                <w:sz w:val="21"/>
                <w:szCs w:val="21"/>
              </w:rPr>
              <w:t>M0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9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5.0 </w:t>
            </w:r>
          </w:p>
        </w:tc>
        <w:tc>
          <w:tcPr>
            <w:tcW w:w="919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3.0 </w:t>
            </w:r>
          </w:p>
        </w:tc>
        <w:tc>
          <w:tcPr>
            <w:tcW w:w="966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60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1020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35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2160" w:type="dxa"/>
            <w:vAlign w:val="center"/>
          </w:tcPr>
          <w:p w:rsidR="009B3402" w:rsidRDefault="009B3402" w:rsidP="00D31FE8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应与周边区域国土空间规划和景观要求相协调。</w:t>
            </w:r>
          </w:p>
        </w:tc>
        <w:tc>
          <w:tcPr>
            <w:tcW w:w="990" w:type="dxa"/>
            <w:vMerge w:val="restart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sz w:val="21"/>
                <w:szCs w:val="21"/>
              </w:rPr>
              <w:t>单个地块不大于</w:t>
            </w:r>
            <w:r>
              <w:rPr>
                <w:sz w:val="21"/>
                <w:szCs w:val="21"/>
              </w:rPr>
              <w:t>20%</w:t>
            </w:r>
          </w:p>
        </w:tc>
      </w:tr>
      <w:tr w:rsidR="009B3402" w:rsidTr="00D31FE8">
        <w:trPr>
          <w:jc w:val="center"/>
        </w:trPr>
        <w:tc>
          <w:tcPr>
            <w:tcW w:w="551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spacing w:beforeAutospacing="1" w:afterAutospacing="1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一类工业用地</w:t>
            </w:r>
          </w:p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M1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9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4.0 </w:t>
            </w:r>
          </w:p>
        </w:tc>
        <w:tc>
          <w:tcPr>
            <w:tcW w:w="919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2.0 </w:t>
            </w:r>
          </w:p>
        </w:tc>
        <w:tc>
          <w:tcPr>
            <w:tcW w:w="966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——</w:t>
            </w:r>
          </w:p>
        </w:tc>
        <w:tc>
          <w:tcPr>
            <w:tcW w:w="1020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30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2160" w:type="dxa"/>
            <w:vMerge w:val="restart"/>
            <w:vAlign w:val="center"/>
          </w:tcPr>
          <w:p w:rsidR="009B3402" w:rsidRDefault="009B3402" w:rsidP="00D31FE8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工业建筑高度控制在</w:t>
            </w:r>
            <w:r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米以内，有特殊生产工艺需求的，经论证后可适当提高。</w:t>
            </w:r>
          </w:p>
        </w:tc>
        <w:tc>
          <w:tcPr>
            <w:tcW w:w="990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:rsidR="009B3402" w:rsidTr="00D31FE8">
        <w:trPr>
          <w:jc w:val="center"/>
        </w:trPr>
        <w:tc>
          <w:tcPr>
            <w:tcW w:w="551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二类工业用地</w:t>
            </w:r>
          </w:p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M2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9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3.5 </w:t>
            </w:r>
          </w:p>
        </w:tc>
        <w:tc>
          <w:tcPr>
            <w:tcW w:w="919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1.2 </w:t>
            </w:r>
          </w:p>
        </w:tc>
        <w:tc>
          <w:tcPr>
            <w:tcW w:w="966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80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1020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30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2160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spacing w:beforeAutospacing="1" w:afterAutospacing="1"/>
              <w:outlineLvl w:val="0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spacing w:beforeAutospacing="1" w:afterAutospacing="1"/>
              <w:jc w:val="center"/>
              <w:outlineLvl w:val="0"/>
              <w:rPr>
                <w:rFonts w:eastAsia="黑体"/>
                <w:sz w:val="21"/>
                <w:szCs w:val="21"/>
              </w:rPr>
            </w:pPr>
          </w:p>
        </w:tc>
      </w:tr>
      <w:tr w:rsidR="009B3402" w:rsidTr="00D31FE8">
        <w:trPr>
          <w:jc w:val="center"/>
        </w:trPr>
        <w:tc>
          <w:tcPr>
            <w:tcW w:w="551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spacing w:beforeAutospacing="1" w:afterAutospacing="1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三类工业用地</w:t>
            </w:r>
          </w:p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M3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9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3.0 </w:t>
            </w:r>
          </w:p>
        </w:tc>
        <w:tc>
          <w:tcPr>
            <w:tcW w:w="919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1.2 </w:t>
            </w:r>
          </w:p>
        </w:tc>
        <w:tc>
          <w:tcPr>
            <w:tcW w:w="966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60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1020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30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2160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spacing w:beforeAutospacing="1" w:afterAutospacing="1"/>
              <w:outlineLvl w:val="0"/>
              <w:rPr>
                <w:sz w:val="21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spacing w:beforeAutospacing="1" w:afterAutospacing="1"/>
              <w:jc w:val="center"/>
              <w:outlineLvl w:val="0"/>
              <w:rPr>
                <w:rFonts w:eastAsia="黑体"/>
                <w:sz w:val="21"/>
                <w:szCs w:val="21"/>
              </w:rPr>
            </w:pPr>
          </w:p>
        </w:tc>
      </w:tr>
      <w:tr w:rsidR="009B3402" w:rsidTr="00D31FE8">
        <w:trPr>
          <w:jc w:val="center"/>
        </w:trPr>
        <w:tc>
          <w:tcPr>
            <w:tcW w:w="551" w:type="dxa"/>
            <w:vMerge w:val="restart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工业产业区块外</w:t>
            </w:r>
          </w:p>
          <w:p w:rsidR="009B3402" w:rsidRDefault="009B3402" w:rsidP="00D31FE8">
            <w:pPr>
              <w:adjustRightInd w:val="0"/>
              <w:snapToGrid w:val="0"/>
              <w:spacing w:beforeAutospacing="1" w:afterAutospacing="1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新型产业用地（</w:t>
            </w:r>
            <w:r>
              <w:rPr>
                <w:sz w:val="21"/>
                <w:szCs w:val="21"/>
              </w:rPr>
              <w:t>M0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9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5.0 </w:t>
            </w:r>
          </w:p>
        </w:tc>
        <w:tc>
          <w:tcPr>
            <w:tcW w:w="919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3.0 </w:t>
            </w:r>
          </w:p>
        </w:tc>
        <w:tc>
          <w:tcPr>
            <w:tcW w:w="966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60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1020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35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2160" w:type="dxa"/>
            <w:vAlign w:val="center"/>
          </w:tcPr>
          <w:p w:rsidR="009B3402" w:rsidRDefault="009B3402" w:rsidP="00D31FE8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应与周边区域国土空间规划和景观要求相协调。</w:t>
            </w:r>
          </w:p>
        </w:tc>
        <w:tc>
          <w:tcPr>
            <w:tcW w:w="990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:rsidR="009B3402" w:rsidTr="00D31FE8">
        <w:trPr>
          <w:jc w:val="center"/>
        </w:trPr>
        <w:tc>
          <w:tcPr>
            <w:tcW w:w="551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一类工业用地</w:t>
            </w:r>
          </w:p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M1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9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4.0 </w:t>
            </w:r>
          </w:p>
        </w:tc>
        <w:tc>
          <w:tcPr>
            <w:tcW w:w="919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2.0 </w:t>
            </w:r>
          </w:p>
        </w:tc>
        <w:tc>
          <w:tcPr>
            <w:tcW w:w="966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50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1020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35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2160" w:type="dxa"/>
            <w:vMerge w:val="restart"/>
            <w:vAlign w:val="center"/>
          </w:tcPr>
          <w:p w:rsidR="009B3402" w:rsidRDefault="009B3402" w:rsidP="00D31FE8">
            <w:pPr>
              <w:adjustRightInd w:val="0"/>
              <w:snapToGrid w:val="0"/>
              <w:ind w:firstLineChars="200" w:firstLine="4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工业建筑高度控制在</w:t>
            </w:r>
            <w:r>
              <w:rPr>
                <w:sz w:val="21"/>
                <w:szCs w:val="21"/>
              </w:rPr>
              <w:t>60</w:t>
            </w:r>
            <w:r>
              <w:rPr>
                <w:sz w:val="21"/>
                <w:szCs w:val="21"/>
              </w:rPr>
              <w:t>米以内，有特殊生产工艺需求的，经论证后可适当提高。</w:t>
            </w:r>
          </w:p>
        </w:tc>
        <w:tc>
          <w:tcPr>
            <w:tcW w:w="990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</w:p>
        </w:tc>
      </w:tr>
      <w:tr w:rsidR="009B3402" w:rsidTr="00D31FE8">
        <w:trPr>
          <w:jc w:val="center"/>
        </w:trPr>
        <w:tc>
          <w:tcPr>
            <w:tcW w:w="551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二类工业用地</w:t>
            </w:r>
          </w:p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M2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9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3.0 </w:t>
            </w:r>
          </w:p>
        </w:tc>
        <w:tc>
          <w:tcPr>
            <w:tcW w:w="919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1.2 </w:t>
            </w:r>
          </w:p>
        </w:tc>
        <w:tc>
          <w:tcPr>
            <w:tcW w:w="966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50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1020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35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2160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spacing w:beforeAutospacing="1" w:afterAutospacing="1"/>
              <w:jc w:val="center"/>
              <w:outlineLvl w:val="0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spacing w:beforeAutospacing="1" w:afterAutospacing="1"/>
              <w:jc w:val="center"/>
              <w:outlineLvl w:val="0"/>
              <w:rPr>
                <w:rFonts w:eastAsia="黑体"/>
                <w:sz w:val="21"/>
                <w:szCs w:val="21"/>
              </w:rPr>
            </w:pPr>
          </w:p>
        </w:tc>
      </w:tr>
      <w:tr w:rsidR="009B3402" w:rsidTr="00D31FE8">
        <w:trPr>
          <w:trHeight w:val="627"/>
          <w:jc w:val="center"/>
        </w:trPr>
        <w:tc>
          <w:tcPr>
            <w:tcW w:w="551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spacing w:beforeAutospacing="1" w:afterAutospacing="1"/>
              <w:jc w:val="center"/>
              <w:outlineLvl w:val="0"/>
              <w:rPr>
                <w:sz w:val="21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三类工业用地</w:t>
            </w:r>
          </w:p>
          <w:p w:rsidR="009B3402" w:rsidRDefault="009B3402" w:rsidP="00D31FE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21"/>
                <w:szCs w:val="21"/>
              </w:rPr>
              <w:t>M3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895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2.0 </w:t>
            </w:r>
          </w:p>
        </w:tc>
        <w:tc>
          <w:tcPr>
            <w:tcW w:w="919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1.2 </w:t>
            </w:r>
          </w:p>
        </w:tc>
        <w:tc>
          <w:tcPr>
            <w:tcW w:w="966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50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1020" w:type="dxa"/>
            <w:vAlign w:val="center"/>
          </w:tcPr>
          <w:p w:rsidR="009B3402" w:rsidRDefault="009B3402" w:rsidP="00D31FE8">
            <w:pPr>
              <w:adjustRightInd w:val="0"/>
              <w:snapToGrid w:val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35</w:t>
            </w:r>
            <w:r>
              <w:rPr>
                <w:rFonts w:eastAsia="黑体" w:hint="eastAsia"/>
                <w:sz w:val="21"/>
                <w:szCs w:val="21"/>
              </w:rPr>
              <w:t>%</w:t>
            </w:r>
          </w:p>
        </w:tc>
        <w:tc>
          <w:tcPr>
            <w:tcW w:w="2160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spacing w:beforeAutospacing="1" w:afterAutospacing="1"/>
              <w:jc w:val="center"/>
              <w:outlineLvl w:val="0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9B3402" w:rsidRDefault="009B3402" w:rsidP="00D31FE8">
            <w:pPr>
              <w:adjustRightInd w:val="0"/>
              <w:snapToGrid w:val="0"/>
              <w:spacing w:beforeAutospacing="1" w:afterAutospacing="1"/>
              <w:jc w:val="center"/>
              <w:outlineLvl w:val="0"/>
              <w:rPr>
                <w:rFonts w:eastAsia="黑体"/>
                <w:sz w:val="21"/>
                <w:szCs w:val="21"/>
              </w:rPr>
            </w:pPr>
          </w:p>
        </w:tc>
      </w:tr>
    </w:tbl>
    <w:p w:rsidR="009B3402" w:rsidRDefault="009B3402" w:rsidP="009B3402">
      <w:pPr>
        <w:adjustRightInd w:val="0"/>
        <w:snapToGrid w:val="0"/>
        <w:spacing w:line="336" w:lineRule="auto"/>
        <w:jc w:val="left"/>
        <w:rPr>
          <w:rFonts w:eastAsia="黑体"/>
          <w:sz w:val="24"/>
        </w:rPr>
      </w:pPr>
    </w:p>
    <w:p w:rsidR="009B3402" w:rsidRDefault="009B3402" w:rsidP="009B3402">
      <w:pPr>
        <w:adjustRightInd w:val="0"/>
        <w:snapToGrid w:val="0"/>
        <w:spacing w:line="336" w:lineRule="auto"/>
        <w:jc w:val="left"/>
        <w:rPr>
          <w:rFonts w:eastAsia="楷体_GB2312"/>
          <w:sz w:val="24"/>
        </w:rPr>
      </w:pPr>
      <w:r>
        <w:rPr>
          <w:rFonts w:eastAsia="黑体" w:hint="eastAsia"/>
          <w:sz w:val="24"/>
        </w:rPr>
        <w:t>备注：</w:t>
      </w:r>
    </w:p>
    <w:p w:rsidR="009B3402" w:rsidRDefault="009B3402" w:rsidP="009B3402">
      <w:pPr>
        <w:adjustRightInd w:val="0"/>
        <w:snapToGrid w:val="0"/>
        <w:spacing w:line="440" w:lineRule="exact"/>
        <w:jc w:val="left"/>
        <w:rPr>
          <w:rFonts w:eastAsia="楷体_GB2312"/>
          <w:sz w:val="24"/>
        </w:rPr>
      </w:pPr>
      <w:r>
        <w:rPr>
          <w:rFonts w:eastAsia="楷体_GB2312"/>
          <w:sz w:val="24"/>
        </w:rPr>
        <w:t xml:space="preserve">    1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eastAsia="楷体_GB2312"/>
          <w:sz w:val="24"/>
        </w:rPr>
        <w:t>生产工艺有特殊要求的工业用地容积率应不低于</w:t>
      </w:r>
      <w:r>
        <w:rPr>
          <w:rFonts w:eastAsia="楷体_GB2312"/>
          <w:sz w:val="24"/>
        </w:rPr>
        <w:t>0.8</w:t>
      </w:r>
      <w:r>
        <w:rPr>
          <w:rFonts w:eastAsia="楷体_GB2312"/>
          <w:sz w:val="24"/>
        </w:rPr>
        <w:t>。</w:t>
      </w:r>
    </w:p>
    <w:p w:rsidR="005C095D" w:rsidRDefault="009B3402" w:rsidP="009B3402">
      <w:r>
        <w:rPr>
          <w:rFonts w:eastAsia="楷体_GB2312" w:hint="eastAsia"/>
          <w:sz w:val="24"/>
        </w:rPr>
        <w:t xml:space="preserve">    </w:t>
      </w:r>
      <w:r>
        <w:rPr>
          <w:rFonts w:eastAsia="楷体_GB2312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.</w:t>
      </w:r>
      <w:r>
        <w:rPr>
          <w:rFonts w:eastAsia="楷体_GB2312"/>
          <w:sz w:val="24"/>
        </w:rPr>
        <w:t>工业项目有特殊需求需突破上表指标规定</w:t>
      </w:r>
      <w:r>
        <w:rPr>
          <w:rFonts w:eastAsia="楷体_GB2312" w:hint="eastAsia"/>
          <w:kern w:val="0"/>
          <w:sz w:val="24"/>
        </w:rPr>
        <w:t>，属于调整容积率的，按照本办法第十二条第（二）项规定程序办理；属于调整建筑密度、绿地率、建筑限高等其他指标的，按照本办法第十二条第（三）项规定程序办理，可以单独对详细规划进行局部修正，也可以在规划报建阶段同步对详细规划进行局部修正。在审查过程中，各区和广州空港经济区规划和自然资源部门应会同工业和信息化、发展改革、生态环境等部门，就调整方案组织专家会议，对突破上表指标的合理性、必要性进行论证。</w:t>
      </w:r>
    </w:p>
    <w:sectPr w:rsidR="005C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02"/>
    <w:rsid w:val="005C095D"/>
    <w:rsid w:val="009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4C1E4-2E30-41A7-8891-8511E395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B34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402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9B340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1</cp:revision>
  <dcterms:created xsi:type="dcterms:W3CDTF">2022-05-07T08:56:00Z</dcterms:created>
  <dcterms:modified xsi:type="dcterms:W3CDTF">2022-05-07T08:57:00Z</dcterms:modified>
</cp:coreProperties>
</file>