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FC" w:rsidRDefault="00810DFC" w:rsidP="00810DFC">
      <w:pPr>
        <w:adjustRightInd w:val="0"/>
        <w:snapToGrid w:val="0"/>
        <w:spacing w:line="60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810DFC" w:rsidRDefault="00810DFC" w:rsidP="00810DFC">
      <w:pPr>
        <w:adjustRightInd w:val="0"/>
        <w:snapToGrid w:val="0"/>
        <w:spacing w:line="6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810DFC" w:rsidRDefault="00810DFC" w:rsidP="00810DF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建行广州分行“专精特新”企业</w:t>
      </w:r>
    </w:p>
    <w:p w:rsidR="00810DFC" w:rsidRDefault="00810DFC" w:rsidP="00810DF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私人银行服务产品</w:t>
      </w:r>
    </w:p>
    <w:p w:rsidR="00810DFC" w:rsidRDefault="00810DFC" w:rsidP="00810DFC">
      <w:pPr>
        <w:adjustRightInd w:val="0"/>
        <w:snapToGrid w:val="0"/>
        <w:spacing w:line="6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一、“金管家”现金管理服务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适用对象：</w:t>
      </w:r>
      <w:r>
        <w:rPr>
          <w:rFonts w:ascii="Times New Roman" w:eastAsia="仿宋_GB2312" w:hAnsi="Times New Roman"/>
          <w:sz w:val="32"/>
          <w:szCs w:val="32"/>
        </w:rPr>
        <w:t>面向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企业私人银行客户本人、家庭成员及客户认可的其他关系人提供的</w:t>
      </w:r>
      <w:r>
        <w:rPr>
          <w:rFonts w:ascii="Times New Roman" w:eastAsia="仿宋_GB2312" w:hAnsi="Times New Roman"/>
          <w:bCs/>
          <w:sz w:val="32"/>
          <w:szCs w:val="32"/>
        </w:rPr>
        <w:t>流动性资金管理服务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产品特点：</w:t>
      </w:r>
      <w:r>
        <w:rPr>
          <w:rFonts w:ascii="Times New Roman" w:eastAsia="仿宋_GB2312" w:hAnsi="Times New Roman"/>
          <w:sz w:val="32"/>
          <w:szCs w:val="32"/>
        </w:rPr>
        <w:t>提供账户整合、自动转账、自动增值、自动补款、资金预留等一揽子服务。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二、家族信托服务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适用对象：</w:t>
      </w:r>
      <w:r>
        <w:rPr>
          <w:rFonts w:ascii="Times New Roman" w:eastAsia="仿宋_GB2312" w:hAnsi="Times New Roman"/>
          <w:sz w:val="32"/>
          <w:szCs w:val="32"/>
        </w:rPr>
        <w:t>适合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企业私人银行客户</w:t>
      </w:r>
      <w:r>
        <w:rPr>
          <w:rFonts w:ascii="Times New Roman" w:eastAsia="仿宋_GB2312" w:hAnsi="Times New Roman"/>
          <w:bCs/>
          <w:sz w:val="32"/>
          <w:szCs w:val="32"/>
        </w:rPr>
        <w:t>实现资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债风险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隔离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助力创业者基业长青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产品优势：</w:t>
      </w:r>
      <w:r>
        <w:rPr>
          <w:rFonts w:ascii="Times New Roman" w:eastAsia="仿宋_GB2312" w:hAnsi="Times New Roman"/>
          <w:sz w:val="32"/>
          <w:szCs w:val="32"/>
        </w:rPr>
        <w:t>满足客户财产安全保护、财富有序传承、家族成员保障、后代关爱激励、婚姻风险防范、繁冗继承简化、财富专业配置、公益慈善规划的需求。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三、保管箱业务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适用对象：</w:t>
      </w:r>
      <w:r>
        <w:rPr>
          <w:rFonts w:ascii="Times New Roman" w:eastAsia="仿宋_GB2312" w:hAnsi="Times New Roman"/>
          <w:sz w:val="32"/>
          <w:szCs w:val="32"/>
        </w:rPr>
        <w:t>有</w:t>
      </w:r>
      <w:r>
        <w:rPr>
          <w:rFonts w:ascii="Times New Roman" w:eastAsia="仿宋_GB2312" w:hAnsi="Times New Roman"/>
          <w:bCs/>
          <w:sz w:val="32"/>
          <w:szCs w:val="32"/>
        </w:rPr>
        <w:t>保管贵重物品、重要文件、有价单证</w:t>
      </w:r>
      <w:r>
        <w:rPr>
          <w:rFonts w:ascii="Times New Roman" w:eastAsia="仿宋_GB2312" w:hAnsi="Times New Roman"/>
          <w:sz w:val="32"/>
          <w:szCs w:val="32"/>
        </w:rPr>
        <w:t>等业务需求的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企业私人银行客户。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lastRenderedPageBreak/>
        <w:t>产品特点：租期灵活，保管场所安全，可保管物品种类齐全，</w:t>
      </w:r>
      <w:r>
        <w:rPr>
          <w:rFonts w:ascii="Times New Roman" w:eastAsia="仿宋_GB2312" w:hAnsi="Times New Roman"/>
          <w:sz w:val="32"/>
          <w:szCs w:val="32"/>
        </w:rPr>
        <w:t>包括珠宝、古玩、字画、合约文件等，对于私人银行客户免收服务费。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四、家庭财富管理规划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适用对象：</w:t>
      </w:r>
      <w:r>
        <w:rPr>
          <w:rFonts w:ascii="Times New Roman" w:eastAsia="仿宋_GB2312" w:hAnsi="Times New Roman"/>
          <w:sz w:val="32"/>
          <w:szCs w:val="32"/>
        </w:rPr>
        <w:t>有</w:t>
      </w:r>
      <w:r>
        <w:rPr>
          <w:rFonts w:ascii="Times New Roman" w:eastAsia="仿宋_GB2312" w:hAnsi="Times New Roman"/>
          <w:bCs/>
          <w:sz w:val="32"/>
          <w:szCs w:val="32"/>
        </w:rPr>
        <w:t>资产保值、增值</w:t>
      </w:r>
      <w:r>
        <w:rPr>
          <w:rFonts w:ascii="Times New Roman" w:eastAsia="仿宋_GB2312" w:hAnsi="Times New Roman"/>
          <w:sz w:val="32"/>
          <w:szCs w:val="32"/>
        </w:rPr>
        <w:t>的需求，</w:t>
      </w:r>
      <w:r>
        <w:rPr>
          <w:rFonts w:ascii="Times New Roman" w:eastAsia="仿宋_GB2312" w:hAnsi="Times New Roman"/>
          <w:bCs/>
          <w:sz w:val="32"/>
          <w:szCs w:val="32"/>
        </w:rPr>
        <w:t>明确财富管理规划目标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企业私人银行客户。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产品特点：</w:t>
      </w:r>
      <w:r>
        <w:rPr>
          <w:rFonts w:ascii="Times New Roman" w:eastAsia="仿宋_GB2312" w:hAnsi="Times New Roman"/>
          <w:sz w:val="32"/>
          <w:szCs w:val="32"/>
        </w:rPr>
        <w:t>提供综合化、个性化和专业化的财富规划报告，产品收益高，类型丰富，交易便捷。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五、中高端客户养老社区服务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适用对象：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/>
          <w:bCs/>
          <w:sz w:val="32"/>
          <w:szCs w:val="32"/>
        </w:rPr>
        <w:t>高端连锁养老社区</w:t>
      </w:r>
      <w:r>
        <w:rPr>
          <w:rFonts w:ascii="Times New Roman" w:eastAsia="仿宋_GB2312" w:hAnsi="Times New Roman"/>
          <w:sz w:val="32"/>
          <w:szCs w:val="32"/>
        </w:rPr>
        <w:t>有需求的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企业私人银行客户。</w:t>
      </w:r>
    </w:p>
    <w:p w:rsidR="00810DFC" w:rsidRDefault="00810DFC" w:rsidP="00810DFC">
      <w:pPr>
        <w:spacing w:line="600" w:lineRule="exact"/>
        <w:ind w:firstLineChars="200" w:firstLine="640"/>
        <w:jc w:val="both"/>
        <w:outlineLvl w:val="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产品优势：</w:t>
      </w:r>
      <w:r>
        <w:rPr>
          <w:rFonts w:ascii="Times New Roman" w:eastAsia="仿宋_GB2312" w:hAnsi="Times New Roman"/>
          <w:sz w:val="32"/>
          <w:szCs w:val="32"/>
        </w:rPr>
        <w:t>与合作的第三方机构构建高端连锁养老社区布局，倡导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活力养老、高端医疗、卓越理财、终极关怀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，打造安全、高效、专业的居住环境，实现完美的养老理想，呵护全面的健康生活。</w:t>
      </w:r>
    </w:p>
    <w:p w:rsidR="00695486" w:rsidRPr="00810DFC" w:rsidRDefault="00695486">
      <w:pPr>
        <w:ind w:firstLine="420"/>
      </w:pPr>
      <w:bookmarkStart w:id="0" w:name="_GoBack"/>
      <w:bookmarkEnd w:id="0"/>
    </w:p>
    <w:sectPr w:rsidR="00695486" w:rsidRPr="00810DFC" w:rsidSect="00270DB0">
      <w:pgSz w:w="11906" w:h="16838" w:code="9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FC"/>
    <w:rsid w:val="000E422D"/>
    <w:rsid w:val="00270DB0"/>
    <w:rsid w:val="00695486"/>
    <w:rsid w:val="008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8239-9813-4D56-AD16-4254A0FA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FC"/>
    <w:pPr>
      <w:spacing w:line="240" w:lineRule="auto"/>
      <w:ind w:firstLineChars="0" w:firstLine="0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钱泳彤</dc:creator>
  <cp:keywords/>
  <dc:description/>
  <cp:lastModifiedBy>钱泳彤</cp:lastModifiedBy>
  <cp:revision>1</cp:revision>
  <dcterms:created xsi:type="dcterms:W3CDTF">2021-12-24T03:08:00Z</dcterms:created>
  <dcterms:modified xsi:type="dcterms:W3CDTF">2021-12-24T03:08:00Z</dcterms:modified>
</cp:coreProperties>
</file>