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1" w:line="220" w:lineRule="auto"/>
        <w:ind w:left="3394"/>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pacing w:val="8"/>
          <w:sz w:val="44"/>
          <w:szCs w:val="44"/>
          <w:lang w:eastAsia="zh-CN"/>
        </w:rPr>
        <w:t>项目</w:t>
      </w:r>
      <w:r>
        <w:rPr>
          <w:rFonts w:hint="eastAsia" w:ascii="方正小标宋简体" w:hAnsi="方正小标宋简体" w:eastAsia="方正小标宋简体" w:cs="方正小标宋简体"/>
          <w:spacing w:val="8"/>
          <w:sz w:val="44"/>
          <w:szCs w:val="44"/>
        </w:rPr>
        <w:t>榜单</w:t>
      </w:r>
    </w:p>
    <w:p>
      <w:pPr>
        <w:spacing w:line="30" w:lineRule="exact"/>
      </w:pPr>
    </w:p>
    <w:tbl>
      <w:tblPr>
        <w:tblStyle w:val="9"/>
        <w:tblW w:w="89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4"/>
        <w:gridCol w:w="3325"/>
        <w:gridCol w:w="1593"/>
        <w:gridCol w:w="28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194" w:type="dxa"/>
            <w:vAlign w:val="center"/>
          </w:tcPr>
          <w:p>
            <w:pPr>
              <w:spacing w:before="208" w:line="219" w:lineRule="auto"/>
              <w:jc w:val="center"/>
              <w:rPr>
                <w:szCs w:val="21"/>
              </w:rPr>
            </w:pPr>
            <w:r>
              <w:rPr>
                <w:spacing w:val="-2"/>
                <w:szCs w:val="21"/>
              </w:rPr>
              <w:t>榜单名称</w:t>
            </w:r>
          </w:p>
        </w:tc>
        <w:tc>
          <w:tcPr>
            <w:tcW w:w="7772" w:type="dxa"/>
            <w:gridSpan w:val="3"/>
            <w:vAlign w:val="center"/>
          </w:tcPr>
          <w:p>
            <w:pPr>
              <w:jc w:val="center"/>
              <w:rPr>
                <w:szCs w:val="21"/>
              </w:rPr>
            </w:pPr>
            <w:r>
              <w:rPr>
                <w:rFonts w:hint="eastAsia"/>
                <w:szCs w:val="21"/>
              </w:rPr>
              <w:t>基于星空地一体化的碳监测技术体系构建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194" w:type="dxa"/>
            <w:vAlign w:val="center"/>
          </w:tcPr>
          <w:p>
            <w:pPr>
              <w:spacing w:before="72" w:line="248" w:lineRule="auto"/>
              <w:ind w:left="396" w:right="62" w:hanging="311"/>
              <w:rPr>
                <w:szCs w:val="21"/>
              </w:rPr>
            </w:pPr>
            <w:r>
              <w:rPr>
                <w:spacing w:val="-2"/>
                <w:szCs w:val="21"/>
              </w:rPr>
              <w:t>专业领域及</w:t>
            </w:r>
            <w:r>
              <w:rPr>
                <w:szCs w:val="21"/>
              </w:rPr>
              <w:t xml:space="preserve"> </w:t>
            </w:r>
            <w:r>
              <w:rPr>
                <w:spacing w:val="10"/>
                <w:szCs w:val="21"/>
              </w:rPr>
              <w:t>方向</w:t>
            </w:r>
          </w:p>
        </w:tc>
        <w:tc>
          <w:tcPr>
            <w:tcW w:w="7772" w:type="dxa"/>
            <w:gridSpan w:val="3"/>
            <w:vAlign w:val="center"/>
          </w:tcPr>
          <w:p>
            <w:pPr>
              <w:jc w:val="center"/>
              <w:rPr>
                <w:szCs w:val="21"/>
              </w:rPr>
            </w:pPr>
            <w:r>
              <w:rPr>
                <w:rFonts w:hint="eastAsia"/>
                <w:szCs w:val="21"/>
              </w:rPr>
              <w:t>碳达峰碳中和领域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194" w:type="dxa"/>
            <w:vAlign w:val="center"/>
          </w:tcPr>
          <w:p>
            <w:pPr>
              <w:spacing w:before="78" w:line="220" w:lineRule="auto"/>
              <w:ind w:left="21"/>
              <w:rPr>
                <w:szCs w:val="21"/>
              </w:rPr>
            </w:pPr>
            <w:r>
              <w:rPr>
                <w:spacing w:val="-7"/>
                <w:szCs w:val="21"/>
              </w:rPr>
              <w:t>启动</w:t>
            </w:r>
            <w:r>
              <w:rPr>
                <w:spacing w:val="3"/>
                <w:szCs w:val="21"/>
              </w:rPr>
              <w:t>时间</w:t>
            </w:r>
          </w:p>
        </w:tc>
        <w:tc>
          <w:tcPr>
            <w:tcW w:w="3325" w:type="dxa"/>
            <w:vAlign w:val="center"/>
          </w:tcPr>
          <w:p>
            <w:pPr>
              <w:jc w:val="center"/>
              <w:rPr>
                <w:szCs w:val="21"/>
              </w:rPr>
            </w:pPr>
            <w:r>
              <w:rPr>
                <w:rFonts w:hint="eastAsia"/>
                <w:szCs w:val="21"/>
              </w:rPr>
              <w:t>2</w:t>
            </w:r>
            <w:r>
              <w:rPr>
                <w:szCs w:val="21"/>
              </w:rPr>
              <w:t>023</w:t>
            </w:r>
            <w:r>
              <w:rPr>
                <w:rFonts w:hint="eastAsia"/>
                <w:szCs w:val="21"/>
              </w:rPr>
              <w:t>年1</w:t>
            </w:r>
            <w:r>
              <w:rPr>
                <w:szCs w:val="21"/>
              </w:rPr>
              <w:t>2</w:t>
            </w:r>
            <w:r>
              <w:rPr>
                <w:rFonts w:hint="eastAsia"/>
                <w:szCs w:val="21"/>
              </w:rPr>
              <w:t>月</w:t>
            </w:r>
          </w:p>
        </w:tc>
        <w:tc>
          <w:tcPr>
            <w:tcW w:w="1593" w:type="dxa"/>
            <w:vAlign w:val="center"/>
          </w:tcPr>
          <w:p>
            <w:pPr>
              <w:spacing w:before="78" w:line="221" w:lineRule="auto"/>
              <w:ind w:left="15"/>
              <w:jc w:val="left"/>
              <w:rPr>
                <w:szCs w:val="21"/>
              </w:rPr>
            </w:pPr>
            <w:r>
              <w:rPr>
                <w:spacing w:val="-5"/>
                <w:szCs w:val="21"/>
              </w:rPr>
              <w:t>计划</w:t>
            </w:r>
            <w:r>
              <w:rPr>
                <w:spacing w:val="4"/>
                <w:szCs w:val="21"/>
              </w:rPr>
              <w:t>完成时间</w:t>
            </w:r>
          </w:p>
        </w:tc>
        <w:tc>
          <w:tcPr>
            <w:tcW w:w="2854" w:type="dxa"/>
          </w:tcPr>
          <w:p>
            <w:pPr>
              <w:rPr>
                <w:szCs w:val="21"/>
              </w:rPr>
            </w:pPr>
          </w:p>
          <w:p>
            <w:pPr>
              <w:jc w:val="center"/>
              <w:rPr>
                <w:szCs w:val="21"/>
              </w:rPr>
            </w:pPr>
            <w:r>
              <w:rPr>
                <w:rFonts w:hint="eastAsia"/>
                <w:szCs w:val="21"/>
              </w:rPr>
              <w:t>2</w:t>
            </w:r>
            <w:r>
              <w:rPr>
                <w:szCs w:val="21"/>
              </w:rPr>
              <w:t>025</w:t>
            </w:r>
            <w:r>
              <w:rPr>
                <w:rFonts w:hint="eastAsia"/>
                <w:szCs w:val="21"/>
              </w:rPr>
              <w:t>年</w:t>
            </w:r>
            <w:r>
              <w:rPr>
                <w:szCs w:val="21"/>
              </w:rPr>
              <w:t>6</w:t>
            </w:r>
            <w:r>
              <w:rPr>
                <w:rFonts w:hint="eastAsia"/>
                <w:szCs w:val="21"/>
              </w:rPr>
              <w:t>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2" w:hRule="atLeast"/>
        </w:trPr>
        <w:tc>
          <w:tcPr>
            <w:tcW w:w="1194" w:type="dxa"/>
            <w:vAlign w:val="center"/>
          </w:tcPr>
          <w:p>
            <w:pPr>
              <w:spacing w:before="68" w:line="247" w:lineRule="auto"/>
              <w:ind w:left="504" w:right="62" w:hanging="420"/>
              <w:rPr>
                <w:szCs w:val="21"/>
              </w:rPr>
            </w:pPr>
            <w:r>
              <w:rPr>
                <w:spacing w:val="-2"/>
                <w:szCs w:val="21"/>
              </w:rPr>
              <w:t>榜单具体内</w:t>
            </w:r>
            <w:r>
              <w:rPr>
                <w:szCs w:val="21"/>
              </w:rPr>
              <w:t xml:space="preserve"> 容</w:t>
            </w:r>
          </w:p>
        </w:tc>
        <w:tc>
          <w:tcPr>
            <w:tcW w:w="7772" w:type="dxa"/>
            <w:gridSpan w:val="3"/>
            <w:vAlign w:val="center"/>
          </w:tcPr>
          <w:p>
            <w:pPr>
              <w:spacing w:before="259" w:line="268" w:lineRule="auto"/>
              <w:ind w:left="13" w:firstLine="444" w:firstLineChars="200"/>
              <w:rPr>
                <w:spacing w:val="6"/>
                <w:szCs w:val="21"/>
              </w:rPr>
            </w:pPr>
            <w:r>
              <w:rPr>
                <w:rFonts w:hint="eastAsia"/>
                <w:spacing w:val="6"/>
                <w:szCs w:val="21"/>
              </w:rPr>
              <w:t>榜单问题紧密围绕“</w:t>
            </w:r>
            <w:r>
              <w:rPr>
                <w:spacing w:val="6"/>
                <w:szCs w:val="21"/>
              </w:rPr>
              <w:t>30·60”总体目标，</w:t>
            </w:r>
            <w:r>
              <w:rPr>
                <w:rFonts w:hint="eastAsia"/>
                <w:spacing w:val="6"/>
                <w:szCs w:val="21"/>
              </w:rPr>
              <w:t>以推动产业发展为核心，以应用场景为优化目标，</w:t>
            </w:r>
            <w:r>
              <w:rPr>
                <w:spacing w:val="6"/>
                <w:szCs w:val="21"/>
              </w:rPr>
              <w:t>构建碳中和监测计量一张网，形成标准化、业务化运行的</w:t>
            </w:r>
            <w:bookmarkStart w:id="0" w:name="_Hlk132754519"/>
            <w:r>
              <w:rPr>
                <w:spacing w:val="6"/>
                <w:szCs w:val="21"/>
              </w:rPr>
              <w:t>碳中和监测数据、计量与测试服务</w:t>
            </w:r>
            <w:bookmarkEnd w:id="0"/>
            <w:r>
              <w:rPr>
                <w:rFonts w:hint="eastAsia"/>
                <w:spacing w:val="6"/>
                <w:szCs w:val="21"/>
              </w:rPr>
              <w:t>，推动社会生产要素的网络化共享、集约化整合、协作化开发和高效化利用，持续激发商业模式创新，不断催生新业态，带动</w:t>
            </w:r>
            <w:r>
              <w:rPr>
                <w:spacing w:val="6"/>
                <w:szCs w:val="21"/>
              </w:rPr>
              <w:t>碳中和科学研究和监测评估核心技术攻关，开展综合天空地一体、标准化、长期和高精度的双向区域碳中和综合监测计量和评估方法研究；加快温室气体与污染智能监测监管技术、装置、系统研发与集成，打造自主可控的碳中和监测计量设备与测试平台；推进碳中和高层次人才培养与交流，支撑碳中和相关产业链公司聚集，形成</w:t>
            </w:r>
            <w:r>
              <w:rPr>
                <w:rFonts w:hint="eastAsia"/>
                <w:spacing w:val="6"/>
                <w:szCs w:val="21"/>
              </w:rPr>
              <w:t>产业协同，以绿色化为牵引，构建现代化产业体系，</w:t>
            </w:r>
            <w:r>
              <w:rPr>
                <w:spacing w:val="6"/>
                <w:szCs w:val="21"/>
              </w:rPr>
              <w:t>推动制造业高端化、智能化、绿色化发展</w:t>
            </w:r>
            <w:r>
              <w:rPr>
                <w:rFonts w:hint="eastAsia"/>
                <w:spacing w:val="6"/>
                <w:szCs w:val="21"/>
              </w:rPr>
              <w:t>，</w:t>
            </w:r>
            <w:r>
              <w:rPr>
                <w:spacing w:val="6"/>
                <w:szCs w:val="21"/>
              </w:rPr>
              <w:t>推动工业和信</w:t>
            </w:r>
            <w:r>
              <w:rPr>
                <w:rFonts w:hint="eastAsia"/>
                <w:spacing w:val="6"/>
                <w:szCs w:val="21"/>
              </w:rPr>
              <w:t>息化高质量发展。具体工作方案建议考虑以下几项：</w:t>
            </w:r>
          </w:p>
          <w:p>
            <w:pPr>
              <w:spacing w:before="259" w:line="268" w:lineRule="auto"/>
              <w:ind w:left="13" w:firstLine="444" w:firstLineChars="200"/>
              <w:rPr>
                <w:spacing w:val="6"/>
                <w:szCs w:val="21"/>
              </w:rPr>
            </w:pPr>
            <w:r>
              <w:rPr>
                <w:rFonts w:hint="eastAsia"/>
                <w:spacing w:val="6"/>
                <w:szCs w:val="21"/>
              </w:rPr>
              <w:t>1、调动中国工程院、中国科学院、中国林业科学研究院、北京大学、武汉大学、西北工业大学、暨南大学、广州大学等单位的紧密合作，从碳排、碳汇两个路线上及时研究与跟踪国家碳监测评估试点工作方案三个阶段的方法学、标准、体系成果和实践效果（有需要须拜访相关试点城市的管理部门和试点企业，提出一套具备广泛推广性、科学性、经济可行性的监测、评估技术方法。</w:t>
            </w:r>
          </w:p>
          <w:p>
            <w:pPr>
              <w:spacing w:before="259" w:line="268" w:lineRule="auto"/>
              <w:ind w:firstLine="444" w:firstLineChars="200"/>
              <w:rPr>
                <w:spacing w:val="6"/>
                <w:szCs w:val="21"/>
              </w:rPr>
            </w:pPr>
            <w:r>
              <w:rPr>
                <w:rFonts w:hint="eastAsia"/>
                <w:spacing w:val="6"/>
                <w:szCs w:val="21"/>
              </w:rPr>
              <w:t>2、调动利用国家对地观测科学数据中心（粤港澳大湾区应用中心）等卫星研究机构，对外广泛建立产学研合作关系，</w:t>
            </w:r>
            <w:r>
              <w:rPr>
                <w:spacing w:val="6"/>
                <w:szCs w:val="21"/>
              </w:rPr>
              <w:t xml:space="preserve"> </w:t>
            </w:r>
            <w:r>
              <w:rPr>
                <w:rFonts w:hint="eastAsia"/>
                <w:spacing w:val="6"/>
                <w:szCs w:val="21"/>
              </w:rPr>
              <w:t>畅通大湾区的卫星遥感数据资源，为后续的产业服务做好数据支撑。</w:t>
            </w:r>
          </w:p>
          <w:p>
            <w:pPr>
              <w:spacing w:before="259" w:line="268" w:lineRule="auto"/>
              <w:ind w:firstLine="444" w:firstLineChars="200"/>
              <w:rPr>
                <w:spacing w:val="6"/>
                <w:szCs w:val="21"/>
              </w:rPr>
            </w:pPr>
            <w:r>
              <w:rPr>
                <w:rFonts w:hint="eastAsia"/>
                <w:spacing w:val="6"/>
                <w:szCs w:val="21"/>
              </w:rPr>
              <w:t>3、应用示范上，将该技术依托一个双碳领域的典型公共服务平台，与碳核算相关方法结合，以自上而下&amp;自下而上双重保障方式，采用大数据、数据汇集、碳排放计算模型等技术手段，结合国家政策与地方特点，构建覆盖地区人口组成、能源生产结构、终端消费量、重点行业、重点园区、规模及以上企业碳排放、碳汇分析、用户碳足迹、企业配额和碳交易等综合维度的智能监测指挥平台。并在产业大脑的支持下，构建</w:t>
            </w:r>
            <w:r>
              <w:rPr>
                <w:spacing w:val="6"/>
                <w:szCs w:val="21"/>
              </w:rPr>
              <w:t xml:space="preserve"> “碳中和”远景规划分析模型，从能源侧、企业侧、用户侧、管理侧提出切实可行的建议和实现途径，促进能源结构转型，优化重点行业生产用能结构，加快去碳化进度，促进碳中和的落地实施，助力</w:t>
            </w:r>
            <w:r>
              <w:rPr>
                <w:rFonts w:hint="eastAsia"/>
                <w:spacing w:val="6"/>
                <w:szCs w:val="21"/>
              </w:rPr>
              <w:t>“3060”</w:t>
            </w:r>
            <w:r>
              <w:rPr>
                <w:spacing w:val="6"/>
                <w:szCs w:val="21"/>
              </w:rPr>
              <w:t>双碳目标</w:t>
            </w:r>
            <w:r>
              <w:rPr>
                <w:rFonts w:hint="eastAsia"/>
                <w:spacing w:val="6"/>
                <w:szCs w:val="21"/>
              </w:rPr>
              <w:t>的实现</w:t>
            </w:r>
            <w:r>
              <w:rPr>
                <w:spacing w:val="6"/>
                <w:szCs w:val="21"/>
              </w:rPr>
              <w:t>。</w:t>
            </w:r>
          </w:p>
          <w:p>
            <w:pPr>
              <w:spacing w:before="259" w:line="268" w:lineRule="auto"/>
              <w:ind w:firstLine="444" w:firstLineChars="200"/>
              <w:rPr>
                <w:spacing w:val="6"/>
                <w:szCs w:val="21"/>
              </w:rPr>
            </w:pPr>
            <w:r>
              <w:rPr>
                <w:rFonts w:hint="eastAsia"/>
                <w:spacing w:val="6"/>
                <w:szCs w:val="21"/>
              </w:rPr>
              <w:t>4、研究及建设方面，优先采用“政企合作、建运一体、长效运营机制”理念，由一合适主体采用</w:t>
            </w:r>
            <w:r>
              <w:rPr>
                <w:rFonts w:hint="eastAsia"/>
                <w:bCs/>
                <w:spacing w:val="6"/>
                <w:szCs w:val="21"/>
              </w:rPr>
              <w:t>“GPDO+F”模式（G政府引领项目，P项目设计，D产业开发，O综合运营，F财务投资）以政府引领、产业协同、创新开发、综合运营4大模块相互促进循环往复方式建设。在此过程中，不同类型的主体，政府、企业、科研机构、大学院校等均可各发挥所长，</w:t>
            </w:r>
            <w:r>
              <w:rPr>
                <w:rFonts w:hint="eastAsia"/>
                <w:spacing w:val="6"/>
                <w:szCs w:val="21"/>
              </w:rPr>
              <w:t>灵活运营各项潜在资源，</w:t>
            </w:r>
            <w:r>
              <w:rPr>
                <w:rFonts w:hint="eastAsia"/>
                <w:bCs/>
                <w:spacing w:val="6"/>
                <w:szCs w:val="21"/>
              </w:rPr>
              <w:t>在不同模块作出探索和贡献。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3" w:hRule="atLeast"/>
        </w:trPr>
        <w:tc>
          <w:tcPr>
            <w:tcW w:w="1194" w:type="dxa"/>
            <w:vAlign w:val="center"/>
          </w:tcPr>
          <w:p>
            <w:pPr>
              <w:spacing w:before="69" w:line="247" w:lineRule="auto"/>
              <w:ind w:left="502" w:right="62" w:hanging="418"/>
              <w:rPr>
                <w:szCs w:val="21"/>
              </w:rPr>
            </w:pPr>
            <w:r>
              <w:rPr>
                <w:spacing w:val="-12"/>
                <w:szCs w:val="21"/>
              </w:rPr>
              <w:t>榜单效益目</w:t>
            </w:r>
            <w:r>
              <w:rPr>
                <w:szCs w:val="21"/>
              </w:rPr>
              <w:t xml:space="preserve"> 标</w:t>
            </w:r>
          </w:p>
        </w:tc>
        <w:tc>
          <w:tcPr>
            <w:tcW w:w="7772" w:type="dxa"/>
            <w:gridSpan w:val="3"/>
            <w:vAlign w:val="center"/>
          </w:tcPr>
          <w:p>
            <w:pPr>
              <w:widowControl/>
              <w:kinsoku w:val="0"/>
              <w:autoSpaceDE w:val="0"/>
              <w:autoSpaceDN w:val="0"/>
              <w:adjustRightInd w:val="0"/>
              <w:snapToGrid w:val="0"/>
              <w:spacing w:line="269" w:lineRule="auto"/>
              <w:ind w:left="6" w:firstLine="444" w:firstLineChars="200"/>
              <w:textAlignment w:val="baseline"/>
              <w:rPr>
                <w:spacing w:val="6"/>
                <w:szCs w:val="21"/>
              </w:rPr>
            </w:pPr>
            <w:r>
              <w:rPr>
                <w:rFonts w:hint="eastAsia"/>
                <w:spacing w:val="6"/>
                <w:szCs w:val="21"/>
              </w:rPr>
              <w:t xml:space="preserve">1、榜单问题预计投入 </w:t>
            </w:r>
            <w:r>
              <w:rPr>
                <w:spacing w:val="6"/>
                <w:szCs w:val="21"/>
              </w:rPr>
              <w:t xml:space="preserve"> 3</w:t>
            </w:r>
            <w:r>
              <w:rPr>
                <w:rFonts w:hint="eastAsia"/>
                <w:spacing w:val="6"/>
                <w:szCs w:val="21"/>
              </w:rPr>
              <w:t>亿元人民币，新增就业人数200人。在标准化、业务化运行的碳中和监测数据服务支撑下，通过碳中和监测计量及测试服务示范引领，在相关产业政策及基金的支持下，带动社会资本新增投资30亿元，在细分领域优势领域培育出1家百亿市值的碳中和监测计量领军企业及2～3家上下游相关产业高科技公司，形成区域产值规模超100亿元。</w:t>
            </w:r>
          </w:p>
          <w:p>
            <w:pPr>
              <w:spacing w:before="259" w:line="268" w:lineRule="auto"/>
              <w:ind w:firstLine="444" w:firstLineChars="200"/>
              <w:rPr>
                <w:spacing w:val="6"/>
                <w:szCs w:val="21"/>
              </w:rPr>
            </w:pPr>
            <w:bookmarkStart w:id="1" w:name="_Hlk132755494"/>
            <w:r>
              <w:rPr>
                <w:spacing w:val="6"/>
                <w:szCs w:val="21"/>
              </w:rPr>
              <w:t>2</w:t>
            </w:r>
            <w:r>
              <w:rPr>
                <w:rFonts w:hint="eastAsia"/>
                <w:spacing w:val="6"/>
                <w:szCs w:val="21"/>
              </w:rPr>
              <w:t>、通过扎实的碳监测方法研究和技术落地，以国际认可的、标准化、业务化、产业化的碳中和监测计量体系和扎实的数据计量为基础，</w:t>
            </w:r>
            <w:bookmarkEnd w:id="1"/>
            <w:r>
              <w:rPr>
                <w:rFonts w:hint="eastAsia"/>
                <w:spacing w:val="6"/>
                <w:szCs w:val="21"/>
              </w:rPr>
              <w:t>科学监测和准确计量国内各区域、园区的碳排放以及减排效果，为各区域政府提供</w:t>
            </w:r>
            <w:r>
              <w:rPr>
                <w:spacing w:val="6"/>
                <w:szCs w:val="21"/>
              </w:rPr>
              <w:t>区域碳核查调查分析服务</w:t>
            </w:r>
            <w:r>
              <w:rPr>
                <w:rFonts w:hint="eastAsia"/>
                <w:spacing w:val="6"/>
                <w:szCs w:val="21"/>
              </w:rPr>
              <w:t>、</w:t>
            </w:r>
            <w:r>
              <w:rPr>
                <w:spacing w:val="6"/>
                <w:szCs w:val="21"/>
              </w:rPr>
              <w:t>区域碳汇资产交易支撑服务</w:t>
            </w:r>
            <w:r>
              <w:rPr>
                <w:rFonts w:hint="eastAsia"/>
                <w:spacing w:val="6"/>
                <w:szCs w:val="21"/>
              </w:rPr>
              <w:t>、</w:t>
            </w:r>
            <w:r>
              <w:rPr>
                <w:spacing w:val="6"/>
                <w:szCs w:val="21"/>
              </w:rPr>
              <w:t>区域双</w:t>
            </w:r>
            <w:bookmarkStart w:id="4" w:name="_GoBack"/>
            <w:bookmarkEnd w:id="4"/>
            <w:r>
              <w:rPr>
                <w:spacing w:val="6"/>
                <w:szCs w:val="21"/>
              </w:rPr>
              <w:t>碳路径咨询服务</w:t>
            </w:r>
            <w:r>
              <w:rPr>
                <w:rFonts w:hint="eastAsia"/>
                <w:spacing w:val="6"/>
                <w:szCs w:val="21"/>
              </w:rPr>
              <w:t>、</w:t>
            </w:r>
            <w:r>
              <w:rPr>
                <w:spacing w:val="6"/>
                <w:szCs w:val="21"/>
              </w:rPr>
              <w:t>园区碳排放监测咨询服务</w:t>
            </w:r>
            <w:r>
              <w:rPr>
                <w:rFonts w:hint="eastAsia"/>
                <w:spacing w:val="6"/>
                <w:szCs w:val="21"/>
              </w:rPr>
              <w:t>、</w:t>
            </w:r>
            <w:r>
              <w:rPr>
                <w:spacing w:val="6"/>
                <w:szCs w:val="21"/>
              </w:rPr>
              <w:t>企业碳账户运营管理服务</w:t>
            </w:r>
            <w:r>
              <w:rPr>
                <w:rFonts w:hint="eastAsia"/>
                <w:spacing w:val="6"/>
                <w:szCs w:val="21"/>
              </w:rPr>
              <w:t>。优先以满足区域政府的需求为抓手，形成长期稳定的区域政府服务。通过政府需求的服务，逐步细化至区域园区的节能考核、清洁生产验收等工作，形成长期稳定的园区客户，通过为</w:t>
            </w:r>
            <w:r>
              <w:rPr>
                <w:spacing w:val="6"/>
                <w:szCs w:val="21"/>
              </w:rPr>
              <w:t>企业</w:t>
            </w:r>
            <w:r>
              <w:rPr>
                <w:rFonts w:hint="eastAsia"/>
                <w:spacing w:val="6"/>
                <w:szCs w:val="21"/>
              </w:rPr>
              <w:t>开通碳账号，根据企业的企业规模和信息化程度，开展</w:t>
            </w:r>
            <w:r>
              <w:rPr>
                <w:spacing w:val="6"/>
                <w:szCs w:val="21"/>
              </w:rPr>
              <w:t>碳排放核查评级</w:t>
            </w:r>
            <w:r>
              <w:rPr>
                <w:rFonts w:hint="eastAsia"/>
                <w:spacing w:val="6"/>
                <w:szCs w:val="21"/>
              </w:rPr>
              <w:t>、节能减排方案筹划、交易服务撮合与支撑，最终形成长期稳定企业客户，为“碳中和”目标的决策管理者提供数字化低碳生态管理闭环服务，帮助城市、园区、企业打造全生命周期的“碳中和”解决方案。</w:t>
            </w:r>
          </w:p>
          <w:p>
            <w:pPr>
              <w:spacing w:before="259" w:line="268" w:lineRule="auto"/>
              <w:ind w:firstLine="444" w:firstLineChars="200"/>
              <w:rPr>
                <w:spacing w:val="6"/>
                <w:szCs w:val="21"/>
              </w:rPr>
            </w:pPr>
            <w:r>
              <w:rPr>
                <w:spacing w:val="6"/>
                <w:szCs w:val="21"/>
              </w:rPr>
              <w:t>3</w:t>
            </w:r>
            <w:r>
              <w:rPr>
                <w:rFonts w:hint="eastAsia"/>
                <w:spacing w:val="6"/>
                <w:szCs w:val="21"/>
              </w:rPr>
              <w:t>、通过示范推广和复制，宏观层面，以国际认可的、标准化、业务化、产业化的碳中和</w:t>
            </w:r>
            <w:bookmarkStart w:id="2" w:name="_Hlk132757541"/>
            <w:r>
              <w:rPr>
                <w:rFonts w:hint="eastAsia"/>
                <w:spacing w:val="6"/>
                <w:szCs w:val="21"/>
              </w:rPr>
              <w:t>监测计量体系</w:t>
            </w:r>
            <w:bookmarkEnd w:id="2"/>
            <w:r>
              <w:rPr>
                <w:rFonts w:hint="eastAsia"/>
                <w:spacing w:val="6"/>
                <w:szCs w:val="21"/>
              </w:rPr>
              <w:t>和</w:t>
            </w:r>
            <w:bookmarkStart w:id="3" w:name="_Hlk132755925"/>
            <w:r>
              <w:rPr>
                <w:rFonts w:hint="eastAsia"/>
                <w:spacing w:val="6"/>
                <w:szCs w:val="21"/>
              </w:rPr>
              <w:t>扎实的数据计量为基础</w:t>
            </w:r>
            <w:bookmarkEnd w:id="3"/>
            <w:r>
              <w:rPr>
                <w:rFonts w:hint="eastAsia"/>
                <w:spacing w:val="6"/>
                <w:szCs w:val="21"/>
              </w:rPr>
              <w:t>，科学监测和准确计量国内各地区和各行业的碳排放以及减排效果，展现我国落实碳达峰碳中和重大战略部署的成果，提升我国绿色发展成果在国际上的认可度，为碳市场与碳金融提供国际定价、交易和审计等技术、政策设计和标准服务。</w:t>
            </w:r>
          </w:p>
          <w:p>
            <w:pPr>
              <w:widowControl/>
              <w:kinsoku w:val="0"/>
              <w:autoSpaceDE w:val="0"/>
              <w:autoSpaceDN w:val="0"/>
              <w:adjustRightInd w:val="0"/>
              <w:snapToGrid w:val="0"/>
              <w:spacing w:line="269" w:lineRule="auto"/>
              <w:ind w:left="6" w:hanging="6"/>
              <w:textAlignment w:val="baseline"/>
              <w:rPr>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JjY2U5MTRkZTczY2NjZmY3ZGNhNTZhZWJjNzgzMjkifQ=="/>
  </w:docVars>
  <w:rsids>
    <w:rsidRoot w:val="1C386AEC"/>
    <w:rsid w:val="0004741C"/>
    <w:rsid w:val="00054015"/>
    <w:rsid w:val="00055036"/>
    <w:rsid w:val="00077017"/>
    <w:rsid w:val="000B2549"/>
    <w:rsid w:val="000D5301"/>
    <w:rsid w:val="000F395F"/>
    <w:rsid w:val="001116B2"/>
    <w:rsid w:val="001205AA"/>
    <w:rsid w:val="001825DB"/>
    <w:rsid w:val="001869E1"/>
    <w:rsid w:val="001A1FDE"/>
    <w:rsid w:val="00230989"/>
    <w:rsid w:val="00240482"/>
    <w:rsid w:val="002504AF"/>
    <w:rsid w:val="00250562"/>
    <w:rsid w:val="002611C1"/>
    <w:rsid w:val="00272975"/>
    <w:rsid w:val="002A3484"/>
    <w:rsid w:val="002C3DC8"/>
    <w:rsid w:val="002D5058"/>
    <w:rsid w:val="00305838"/>
    <w:rsid w:val="003420DE"/>
    <w:rsid w:val="00343FEE"/>
    <w:rsid w:val="00357B64"/>
    <w:rsid w:val="00361FCA"/>
    <w:rsid w:val="00376CE0"/>
    <w:rsid w:val="003B70EA"/>
    <w:rsid w:val="003C3A54"/>
    <w:rsid w:val="003D0ECE"/>
    <w:rsid w:val="00400C0C"/>
    <w:rsid w:val="00406E44"/>
    <w:rsid w:val="00445894"/>
    <w:rsid w:val="0046153C"/>
    <w:rsid w:val="0047023E"/>
    <w:rsid w:val="00492B5B"/>
    <w:rsid w:val="004B7354"/>
    <w:rsid w:val="004C471C"/>
    <w:rsid w:val="004D7717"/>
    <w:rsid w:val="004E4659"/>
    <w:rsid w:val="00575C11"/>
    <w:rsid w:val="00594302"/>
    <w:rsid w:val="005A0720"/>
    <w:rsid w:val="005C2160"/>
    <w:rsid w:val="005E5C36"/>
    <w:rsid w:val="006163D0"/>
    <w:rsid w:val="0062053B"/>
    <w:rsid w:val="00651A93"/>
    <w:rsid w:val="00654939"/>
    <w:rsid w:val="006652A5"/>
    <w:rsid w:val="0067066F"/>
    <w:rsid w:val="006A140F"/>
    <w:rsid w:val="006B0CFB"/>
    <w:rsid w:val="006F0D2C"/>
    <w:rsid w:val="006F2616"/>
    <w:rsid w:val="0071614F"/>
    <w:rsid w:val="00737AD6"/>
    <w:rsid w:val="00794662"/>
    <w:rsid w:val="007B21F6"/>
    <w:rsid w:val="007F7612"/>
    <w:rsid w:val="00831745"/>
    <w:rsid w:val="00834CDD"/>
    <w:rsid w:val="008509FB"/>
    <w:rsid w:val="0089645D"/>
    <w:rsid w:val="008B1697"/>
    <w:rsid w:val="008D785C"/>
    <w:rsid w:val="009359CD"/>
    <w:rsid w:val="009466F5"/>
    <w:rsid w:val="009A2BB5"/>
    <w:rsid w:val="009C2A9E"/>
    <w:rsid w:val="009E1F48"/>
    <w:rsid w:val="00A01781"/>
    <w:rsid w:val="00A14036"/>
    <w:rsid w:val="00A14161"/>
    <w:rsid w:val="00A55395"/>
    <w:rsid w:val="00A8102F"/>
    <w:rsid w:val="00A90653"/>
    <w:rsid w:val="00AC32D3"/>
    <w:rsid w:val="00AD6683"/>
    <w:rsid w:val="00AE7AFF"/>
    <w:rsid w:val="00B17D25"/>
    <w:rsid w:val="00B930F2"/>
    <w:rsid w:val="00BB6B6F"/>
    <w:rsid w:val="00C14DD0"/>
    <w:rsid w:val="00CB55D3"/>
    <w:rsid w:val="00CE6B3F"/>
    <w:rsid w:val="00D4148E"/>
    <w:rsid w:val="00D77BB5"/>
    <w:rsid w:val="00D86511"/>
    <w:rsid w:val="00D9288B"/>
    <w:rsid w:val="00DA4D4F"/>
    <w:rsid w:val="00DC2FDB"/>
    <w:rsid w:val="00DF5E86"/>
    <w:rsid w:val="00E43B55"/>
    <w:rsid w:val="00E57328"/>
    <w:rsid w:val="00E649D0"/>
    <w:rsid w:val="00F520B1"/>
    <w:rsid w:val="00F826C1"/>
    <w:rsid w:val="00F84819"/>
    <w:rsid w:val="00F87320"/>
    <w:rsid w:val="00FB6052"/>
    <w:rsid w:val="00FF0EFA"/>
    <w:rsid w:val="10AA3894"/>
    <w:rsid w:val="146D3564"/>
    <w:rsid w:val="156F12CE"/>
    <w:rsid w:val="170F64B0"/>
    <w:rsid w:val="1C386AEC"/>
    <w:rsid w:val="33AB3F34"/>
    <w:rsid w:val="33E87E19"/>
    <w:rsid w:val="388C36FB"/>
    <w:rsid w:val="728C05FA"/>
    <w:rsid w:val="753F148C"/>
    <w:rsid w:val="BFF7D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footer"/>
    <w:basedOn w:val="1"/>
    <w:link w:val="14"/>
    <w:qFormat/>
    <w:uiPriority w:val="0"/>
    <w:pPr>
      <w:tabs>
        <w:tab w:val="center" w:pos="4153"/>
        <w:tab w:val="right" w:pos="8306"/>
      </w:tabs>
      <w:snapToGrid w:val="0"/>
      <w:jc w:val="left"/>
    </w:pPr>
    <w:rPr>
      <w:sz w:val="18"/>
      <w:szCs w:val="18"/>
    </w:rPr>
  </w:style>
  <w:style w:type="paragraph" w:styleId="4">
    <w:name w:val="header"/>
    <w:basedOn w:val="1"/>
    <w:link w:val="13"/>
    <w:qFormat/>
    <w:uiPriority w:val="0"/>
    <w:pPr>
      <w:tabs>
        <w:tab w:val="center" w:pos="4153"/>
        <w:tab w:val="right" w:pos="8306"/>
      </w:tabs>
      <w:snapToGrid w:val="0"/>
      <w:jc w:val="center"/>
    </w:pPr>
    <w:rPr>
      <w:sz w:val="18"/>
      <w:szCs w:val="18"/>
    </w:rPr>
  </w:style>
  <w:style w:type="paragraph" w:styleId="5">
    <w:name w:val="annotation subject"/>
    <w:basedOn w:val="2"/>
    <w:next w:val="2"/>
    <w:link w:val="12"/>
    <w:qFormat/>
    <w:uiPriority w:val="0"/>
    <w:rPr>
      <w:b/>
      <w:bCs/>
    </w:rPr>
  </w:style>
  <w:style w:type="character" w:styleId="8">
    <w:name w:val="annotation reference"/>
    <w:basedOn w:val="7"/>
    <w:qFormat/>
    <w:uiPriority w:val="0"/>
    <w:rPr>
      <w:sz w:val="21"/>
      <w:szCs w:val="21"/>
    </w:rPr>
  </w:style>
  <w:style w:type="table" w:customStyle="1" w:styleId="9">
    <w:name w:val="Table Normal"/>
    <w:unhideWhenUsed/>
    <w:qFormat/>
    <w:uiPriority w:val="0"/>
    <w:tblPr>
      <w:tblCellMar>
        <w:top w:w="0" w:type="dxa"/>
        <w:left w:w="0" w:type="dxa"/>
        <w:bottom w:w="0" w:type="dxa"/>
        <w:right w:w="0" w:type="dxa"/>
      </w:tblCellMar>
    </w:tblPr>
  </w:style>
  <w:style w:type="paragraph" w:styleId="10">
    <w:name w:val="List Paragraph"/>
    <w:basedOn w:val="1"/>
    <w:unhideWhenUsed/>
    <w:qFormat/>
    <w:uiPriority w:val="99"/>
    <w:pPr>
      <w:ind w:firstLine="420" w:firstLineChars="200"/>
    </w:pPr>
  </w:style>
  <w:style w:type="character" w:customStyle="1" w:styleId="11">
    <w:name w:val="批注文字 字符"/>
    <w:basedOn w:val="7"/>
    <w:link w:val="2"/>
    <w:qFormat/>
    <w:uiPriority w:val="0"/>
    <w:rPr>
      <w:rFonts w:ascii="Times New Roman" w:hAnsi="Times New Roman" w:eastAsia="宋体" w:cs="Times New Roman"/>
      <w:kern w:val="2"/>
      <w:sz w:val="21"/>
      <w:szCs w:val="24"/>
    </w:rPr>
  </w:style>
  <w:style w:type="character" w:customStyle="1" w:styleId="12">
    <w:name w:val="批注主题 字符"/>
    <w:basedOn w:val="11"/>
    <w:link w:val="5"/>
    <w:qFormat/>
    <w:uiPriority w:val="0"/>
    <w:rPr>
      <w:rFonts w:ascii="Times New Roman" w:hAnsi="Times New Roman" w:eastAsia="宋体" w:cs="Times New Roman"/>
      <w:b/>
      <w:bCs/>
      <w:kern w:val="2"/>
      <w:sz w:val="21"/>
      <w:szCs w:val="24"/>
    </w:rPr>
  </w:style>
  <w:style w:type="character" w:customStyle="1" w:styleId="13">
    <w:name w:val="页眉 字符"/>
    <w:basedOn w:val="7"/>
    <w:link w:val="4"/>
    <w:qFormat/>
    <w:uiPriority w:val="0"/>
    <w:rPr>
      <w:rFonts w:ascii="Times New Roman" w:hAnsi="Times New Roman" w:eastAsia="宋体" w:cs="Times New Roman"/>
      <w:kern w:val="2"/>
      <w:sz w:val="18"/>
      <w:szCs w:val="18"/>
    </w:rPr>
  </w:style>
  <w:style w:type="character" w:customStyle="1" w:styleId="14">
    <w:name w:val="页脚 字符"/>
    <w:basedOn w:val="7"/>
    <w:link w:val="3"/>
    <w:qFormat/>
    <w:uiPriority w:val="0"/>
    <w:rPr>
      <w:rFonts w:ascii="Times New Roman" w:hAnsi="Times New Roman" w:eastAsia="宋体" w:cs="Times New Roman"/>
      <w:kern w:val="2"/>
      <w:sz w:val="18"/>
      <w:szCs w:val="18"/>
    </w:rPr>
  </w:style>
  <w:style w:type="paragraph" w:customStyle="1" w:styleId="15">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677</Words>
  <Characters>3863</Characters>
  <Lines>32</Lines>
  <Paragraphs>9</Paragraphs>
  <TotalTime>44</TotalTime>
  <ScaleCrop>false</ScaleCrop>
  <LinksUpToDate>false</LinksUpToDate>
  <CharactersWithSpaces>4531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2023-08-09T02:18:00Z</dcterms:created>
  <dc:creator>钱大大</dc:creator>
  <cp:lastModifiedBy>greatwall</cp:lastModifiedBy>
  <dcterms:modified xsi:type="dcterms:W3CDTF">2023-10-26T19:31:08Z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D9AD7D89E40641669927166FF36CF629</vt:lpwstr>
  </property>
</Properties>
</file>