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p>
    <w:p>
      <w:pPr>
        <w:spacing w:line="560" w:lineRule="exact"/>
        <w:jc w:val="center"/>
        <w:rPr>
          <w:rFonts w:hint="eastAsia" w:eastAsia="方正小标宋简体"/>
          <w:sz w:val="44"/>
          <w:szCs w:val="44"/>
        </w:rPr>
      </w:pPr>
      <w:r>
        <w:rPr>
          <w:rFonts w:hint="eastAsia" w:eastAsia="方正小标宋简体"/>
          <w:sz w:val="44"/>
          <w:szCs w:val="44"/>
        </w:rPr>
        <w:t>项目</w:t>
      </w:r>
      <w:r>
        <w:rPr>
          <w:rFonts w:eastAsia="方正小标宋简体"/>
          <w:sz w:val="44"/>
          <w:szCs w:val="44"/>
        </w:rPr>
        <w:t>榜单</w:t>
      </w:r>
    </w:p>
    <w:tbl>
      <w:tblPr>
        <w:tblStyle w:val="5"/>
        <w:tblW w:w="50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07"/>
        <w:gridCol w:w="3089"/>
        <w:gridCol w:w="1482"/>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06"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榜单名称</w:t>
            </w:r>
          </w:p>
        </w:tc>
        <w:tc>
          <w:tcPr>
            <w:tcW w:w="7220" w:type="dxa"/>
            <w:gridSpan w:val="3"/>
            <w:tcBorders>
              <w:top w:val="single" w:color="auto" w:sz="4" w:space="0"/>
              <w:left w:val="nil"/>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东莞市模具产业互联网协同平台-设计协同、制造协同、集采协同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06"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专业领域及方向</w:t>
            </w:r>
          </w:p>
        </w:tc>
        <w:tc>
          <w:tcPr>
            <w:tcW w:w="7220" w:type="dxa"/>
            <w:gridSpan w:val="3"/>
            <w:tcBorders>
              <w:top w:val="single" w:color="auto" w:sz="4" w:space="0"/>
              <w:left w:val="nil"/>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制造业数字化转型领域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06"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14:textFill>
                  <w14:solidFill>
                    <w14:schemeClr w14:val="tx1"/>
                  </w14:solidFill>
                </w14:textFill>
              </w:rPr>
            </w:pPr>
            <w:r>
              <w:rPr>
                <w:color w:val="000000" w:themeColor="text1"/>
                <w:szCs w:val="21"/>
                <w14:textFill>
                  <w14:solidFill>
                    <w14:schemeClr w14:val="tx1"/>
                  </w14:solidFill>
                </w14:textFill>
              </w:rPr>
              <w:t>启动时间</w:t>
            </w:r>
          </w:p>
        </w:tc>
        <w:tc>
          <w:tcPr>
            <w:tcW w:w="3085" w:type="dxa"/>
            <w:tcBorders>
              <w:top w:val="single" w:color="auto" w:sz="4" w:space="0"/>
              <w:left w:val="nil"/>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2023年8月</w:t>
            </w:r>
          </w:p>
        </w:tc>
        <w:tc>
          <w:tcPr>
            <w:tcW w:w="1480" w:type="dxa"/>
            <w:tcBorders>
              <w:top w:val="single" w:color="auto" w:sz="4" w:space="0"/>
              <w:left w:val="nil"/>
              <w:bottom w:val="single" w:color="auto" w:sz="4" w:space="0"/>
              <w:right w:val="single" w:color="auto" w:sz="4" w:space="0"/>
            </w:tcBorders>
            <w:vAlign w:val="center"/>
          </w:tcPr>
          <w:p>
            <w:pPr>
              <w:jc w:val="center"/>
              <w:rPr>
                <w:color w:val="000000" w:themeColor="text1"/>
                <w14:textFill>
                  <w14:solidFill>
                    <w14:schemeClr w14:val="tx1"/>
                  </w14:solidFill>
                </w14:textFill>
              </w:rPr>
            </w:pPr>
            <w:r>
              <w:rPr>
                <w:color w:val="000000" w:themeColor="text1"/>
                <w:szCs w:val="21"/>
                <w:lang w:val="en" w:eastAsia="en"/>
                <w14:textFill>
                  <w14:solidFill>
                    <w14:schemeClr w14:val="tx1"/>
                  </w14:solidFill>
                </w14:textFill>
              </w:rPr>
              <w:t>计划完成</w:t>
            </w:r>
            <w:r>
              <w:rPr>
                <w:color w:val="000000" w:themeColor="text1"/>
                <w:szCs w:val="21"/>
                <w14:textFill>
                  <w14:solidFill>
                    <w14:schemeClr w14:val="tx1"/>
                  </w14:solidFill>
                </w14:textFill>
              </w:rPr>
              <w:t>时间</w:t>
            </w:r>
          </w:p>
        </w:tc>
        <w:tc>
          <w:tcPr>
            <w:tcW w:w="2655" w:type="dxa"/>
            <w:tcBorders>
              <w:top w:val="single" w:color="auto" w:sz="4" w:space="0"/>
              <w:left w:val="nil"/>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2026年8月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72" w:hRule="atLeast"/>
          <w:jc w:val="center"/>
        </w:trPr>
        <w:tc>
          <w:tcPr>
            <w:tcW w:w="1106"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项目内容</w:t>
            </w:r>
          </w:p>
        </w:tc>
        <w:tc>
          <w:tcPr>
            <w:tcW w:w="7220"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针对以上亟待解决的行业资源协同问题，打造产业集群数字化转型的产业互联网平台全方位解决方案，解决设计协同、制造协同、集中采购的问题。</w:t>
            </w:r>
          </w:p>
          <w:p>
            <w:pPr>
              <w:ind w:firstLine="421"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需求内容：</w:t>
            </w:r>
          </w:p>
          <w:p>
            <w:pPr>
              <w:ind w:firstLine="421"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IT算法助力平台整合，促进数字化转型升级：</w:t>
            </w:r>
          </w:p>
          <w:p>
            <w:pPr>
              <w:numPr>
                <w:ilvl w:val="0"/>
                <w:numId w:val="1"/>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通过研发产业互联网平台解决方案，利用IT手段打造模具产业链数字协同服务平台；</w:t>
            </w:r>
          </w:p>
          <w:p>
            <w:pPr>
              <w:numPr>
                <w:ilvl w:val="0"/>
                <w:numId w:val="1"/>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利用平台将线下的资源通过非物理手段，聚集到平台如：订单资源、加工设备资源、行业知识、经验技术资源、企业产能资料等；</w:t>
            </w:r>
          </w:p>
          <w:p>
            <w:pPr>
              <w:numPr>
                <w:ilvl w:val="0"/>
                <w:numId w:val="1"/>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再通过大数据算法分析，将资源按照其特性、要求，精准分发至具有承接此项业务的实现制造企业或服务单位。</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其中需要涵盖到“三层两面”：</w:t>
            </w:r>
          </w:p>
          <w:p>
            <w:pPr>
              <w:ind w:firstLine="421"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“三层”即：</w:t>
            </w:r>
          </w:p>
          <w:p>
            <w:pPr>
              <w:numPr>
                <w:ilvl w:val="0"/>
                <w:numId w:val="2"/>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平台层：主要用于平台资源整合后合理分配；</w:t>
            </w:r>
          </w:p>
          <w:p>
            <w:pPr>
              <w:numPr>
                <w:ilvl w:val="0"/>
                <w:numId w:val="2"/>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信息层：主要用于承接平台层所分发下来的订单或其它任务的企业管理用；</w:t>
            </w:r>
          </w:p>
          <w:p>
            <w:pPr>
              <w:numPr>
                <w:ilvl w:val="0"/>
                <w:numId w:val="2"/>
              </w:num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自动化控制层：主要是将具体的生产任务根据工艺路线实现自动化加工。</w:t>
            </w:r>
          </w:p>
          <w:p>
            <w:pPr>
              <w:ind w:firstLine="421"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“两面”即：</w:t>
            </w:r>
          </w:p>
          <w:p>
            <w:pPr>
              <w:numPr>
                <w:ilvl w:val="0"/>
                <w:numId w:val="3"/>
              </w:numPr>
              <w:ind w:left="0"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数字平面：主要用来处理资源整合；</w:t>
            </w:r>
          </w:p>
          <w:p>
            <w:pPr>
              <w:numPr>
                <w:ilvl w:val="0"/>
                <w:numId w:val="3"/>
              </w:numPr>
              <w:ind w:left="0"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实体平面：主要包含线下产业园集群及云盟工厂等。</w:t>
            </w:r>
          </w:p>
          <w:p>
            <w:pPr>
              <w:ind w:firstLine="421" w:firstLineChars="200"/>
              <w:rPr>
                <w:color w:val="000000" w:themeColor="text1"/>
                <w14:textFill>
                  <w14:solidFill>
                    <w14:schemeClr w14:val="tx1"/>
                  </w14:solidFill>
                </w14:textFill>
              </w:rPr>
            </w:pPr>
            <w:r>
              <w:rPr>
                <w:rFonts w:hint="eastAsia"/>
                <w:b/>
                <w:bCs/>
                <w:color w:val="000000" w:themeColor="text1"/>
                <w14:textFill>
                  <w14:solidFill>
                    <w14:schemeClr w14:val="tx1"/>
                  </w14:solidFill>
                </w14:textFill>
              </w:rPr>
              <w:t>参数要求：</w:t>
            </w:r>
          </w:p>
          <w:p>
            <w:pPr>
              <w:ind w:firstLine="421"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设计协同：</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平台牵引B端企业在平台外协设计订单，牵引C端设计师或设计机构承接设计服务，平台精准撮合并监管订单交易过程的质量，进度、托管订单资金。</w:t>
            </w:r>
          </w:p>
          <w:p>
            <w:pPr>
              <w:ind w:firstLine="421"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制造协同：</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以制造协同平台为供、需双方提供生产加工委外业务交易的平台，通过小工单给企业赋能，再与平台建立双向连接，使整个生产过程清晰可控，推动企业数字化改造，降低生产成本。</w:t>
            </w:r>
          </w:p>
          <w:p>
            <w:pPr>
              <w:ind w:firstLine="421"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集中采购：</w:t>
            </w:r>
          </w:p>
          <w:p>
            <w:pPr>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通过智能设计、行业标准的牵引以及数字信息的采集，大量聚合非标、少量、特殊品类采购需求，形成规模效应和成本优势。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9" w:hRule="atLeast"/>
          <w:jc w:val="center"/>
        </w:trPr>
        <w:tc>
          <w:tcPr>
            <w:tcW w:w="1106"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项目目标</w:t>
            </w:r>
          </w:p>
        </w:tc>
        <w:tc>
          <w:tcPr>
            <w:tcW w:w="7220"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需求效果：</w:t>
            </w:r>
          </w:p>
          <w:p>
            <w:pPr>
              <w:pStyle w:val="4"/>
              <w:spacing w:before="0" w:after="0" w:line="240" w:lineRule="auto"/>
              <w:ind w:firstLine="420" w:firstLineChars="200"/>
              <w:rPr>
                <w:rFonts w:ascii="Times New Roman" w:hAnsi="Times New Roman"/>
                <w:b w:val="0"/>
                <w:bCs w:val="0"/>
                <w:color w:val="000000" w:themeColor="text1"/>
                <w:sz w:val="21"/>
                <w:szCs w:val="21"/>
                <w14:textFill>
                  <w14:solidFill>
                    <w14:schemeClr w14:val="tx1"/>
                  </w14:solidFill>
                </w14:textFill>
              </w:rPr>
            </w:pPr>
            <w:r>
              <w:rPr>
                <w:rFonts w:ascii="Times New Roman" w:hAnsi="Times New Roman"/>
                <w:b w:val="0"/>
                <w:bCs w:val="0"/>
                <w:color w:val="000000" w:themeColor="text1"/>
                <w:sz w:val="21"/>
                <w:szCs w:val="21"/>
                <w14:textFill>
                  <w14:solidFill>
                    <w14:schemeClr w14:val="tx1"/>
                  </w14:solidFill>
                </w14:textFill>
              </w:rPr>
              <w:t>针对模提供</w:t>
            </w:r>
            <w:r>
              <w:rPr>
                <w:rFonts w:hint="eastAsia" w:ascii="Times New Roman" w:hAnsi="Times New Roman"/>
                <w:b w:val="0"/>
                <w:bCs w:val="0"/>
                <w:color w:val="000000" w:themeColor="text1"/>
                <w:sz w:val="21"/>
                <w:szCs w:val="21"/>
                <w14:textFill>
                  <w14:solidFill>
                    <w14:schemeClr w14:val="tx1"/>
                  </w14:solidFill>
                </w14:textFill>
              </w:rPr>
              <w:t>的产业</w:t>
            </w:r>
            <w:r>
              <w:rPr>
                <w:rFonts w:ascii="Times New Roman" w:hAnsi="Times New Roman"/>
                <w:b w:val="0"/>
                <w:bCs w:val="0"/>
                <w:color w:val="000000" w:themeColor="text1"/>
                <w:sz w:val="21"/>
                <w:szCs w:val="21"/>
                <w14:textFill>
                  <w14:solidFill>
                    <w14:schemeClr w14:val="tx1"/>
                  </w14:solidFill>
                </w14:textFill>
              </w:rPr>
              <w:t>互联网解决方案，聚焦于冲压、注塑、压铸、钣金和非标设备等细分行业，提供工业互联网解决方案和服务</w:t>
            </w:r>
            <w:r>
              <w:rPr>
                <w:rFonts w:hint="eastAsia" w:ascii="Times New Roman" w:hAnsi="Times New Roman"/>
                <w:b w:val="0"/>
                <w:bCs w:val="0"/>
                <w:color w:val="000000" w:themeColor="text1"/>
                <w:sz w:val="21"/>
                <w:szCs w:val="21"/>
                <w14:textFill>
                  <w14:solidFill>
                    <w14:schemeClr w14:val="tx1"/>
                  </w14:solidFill>
                </w14:textFill>
              </w:rPr>
              <w:t>，达成关键路标计划和提效；</w:t>
            </w:r>
            <w:r>
              <w:rPr>
                <w:rFonts w:ascii="Times New Roman" w:hAnsi="Times New Roman"/>
                <w:b w:val="0"/>
                <w:bCs w:val="0"/>
                <w:color w:val="000000" w:themeColor="text1"/>
                <w:sz w:val="21"/>
                <w:szCs w:val="21"/>
                <w14:textFill>
                  <w14:solidFill>
                    <w14:schemeClr w14:val="tx1"/>
                  </w14:solidFill>
                </w14:textFill>
              </w:rPr>
              <w:t>利用数字技术重塑模具行业发展模式，构建行业新生态。</w:t>
            </w:r>
          </w:p>
          <w:p>
            <w:pPr>
              <w:pStyle w:val="4"/>
              <w:spacing w:before="0" w:after="0" w:line="240" w:lineRule="auto"/>
              <w:ind w:firstLine="420" w:firstLineChars="200"/>
              <w:rPr>
                <w:rFonts w:hint="eastAsia"/>
                <w:color w:val="000000" w:themeColor="text1"/>
                <w14:textFill>
                  <w14:solidFill>
                    <w14:schemeClr w14:val="tx1"/>
                  </w14:solidFill>
                </w14:textFill>
              </w:rPr>
            </w:pPr>
            <w:r>
              <w:rPr>
                <w:rFonts w:hint="eastAsia"/>
                <w:b w:val="0"/>
                <w:bCs w:val="0"/>
                <w:color w:val="000000" w:themeColor="text1"/>
                <w:sz w:val="21"/>
                <w:szCs w:val="21"/>
                <w14:textFill>
                  <w14:solidFill>
                    <w14:schemeClr w14:val="tx1"/>
                  </w14:solidFill>
                </w14:textFill>
              </w:rPr>
              <w:t>打造5家以上模具制造企业实施标杆，服务行业上下游企业25家以上；</w:t>
            </w:r>
          </w:p>
          <w:p>
            <w:pPr>
              <w:pStyle w:val="2"/>
              <w:ind w:firstLine="0"/>
              <w:jc w:val="center"/>
              <w:rPr>
                <w:color w:val="000000" w:themeColor="text1"/>
                <w:sz w:val="21"/>
                <w:szCs w:val="21"/>
                <w14:textFill>
                  <w14:solidFill>
                    <w14:schemeClr w14:val="tx1"/>
                  </w14:solidFill>
                </w14:textFill>
              </w:rPr>
            </w:pPr>
            <w:r>
              <w:rPr>
                <w:color w:val="000000" w:themeColor="text1"/>
                <w14:textFill>
                  <w14:solidFill>
                    <w14:schemeClr w14:val="tx1"/>
                  </w14:solidFill>
                </w14:textFill>
              </w:rPr>
              <w:drawing>
                <wp:inline distT="0" distB="0" distL="0" distR="0">
                  <wp:extent cx="4515485" cy="3186430"/>
                  <wp:effectExtent l="0" t="0" r="0" b="0"/>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4">
                            <a:extLst>
                              <a:ext uri="{28A0092B-C50C-407E-A947-70E740481C1C}">
                                <a14:useLocalDpi xmlns:a14="http://schemas.microsoft.com/office/drawing/2010/main" val="false"/>
                              </a:ext>
                            </a:extLst>
                          </a:blip>
                          <a:stretch>
                            <a:fillRect/>
                          </a:stretch>
                        </pic:blipFill>
                        <pic:spPr>
                          <a:xfrm>
                            <a:off x="0" y="0"/>
                            <a:ext cx="4515485" cy="3186430"/>
                          </a:xfrm>
                          <a:prstGeom prst="rect">
                            <a:avLst/>
                          </a:prstGeom>
                          <a:noFill/>
                          <a:ln>
                            <a:noFill/>
                          </a:ln>
                        </pic:spPr>
                      </pic:pic>
                    </a:graphicData>
                  </a:graphic>
                </wp:inline>
              </w:drawing>
            </w:r>
          </w:p>
          <w:p>
            <w:pPr>
              <w:jc w:val="center"/>
              <w:rPr>
                <w:rFonts w:hint="eastAsia" w:ascii="宋体" w:hAnsi="宋体" w:cs="宋体"/>
                <w:color w:val="000000" w:themeColor="text1"/>
                <w:szCs w:val="21"/>
                <w14:textFill>
                  <w14:solidFill>
                    <w14:schemeClr w14:val="tx1"/>
                  </w14:solidFill>
                </w14:textFill>
              </w:rPr>
            </w:pPr>
            <w:r>
              <w:rPr>
                <w:color w:val="000000" w:themeColor="text1"/>
                <w14:textFill>
                  <w14:solidFill>
                    <w14:schemeClr w14:val="tx1"/>
                  </w14:solidFill>
                </w14:textFill>
              </w:rPr>
              <w:drawing>
                <wp:inline distT="0" distB="0" distL="0" distR="0">
                  <wp:extent cx="3972560" cy="4608830"/>
                  <wp:effectExtent l="0" t="0" r="8890" b="127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5">
                            <a:extLst>
                              <a:ext uri="{28A0092B-C50C-407E-A947-70E740481C1C}">
                                <a14:useLocalDpi xmlns:a14="http://schemas.microsoft.com/office/drawing/2010/main" val="false"/>
                              </a:ext>
                            </a:extLst>
                          </a:blip>
                          <a:stretch>
                            <a:fillRect/>
                          </a:stretch>
                        </pic:blipFill>
                        <pic:spPr>
                          <a:xfrm>
                            <a:off x="0" y="0"/>
                            <a:ext cx="3972560" cy="4608830"/>
                          </a:xfrm>
                          <a:prstGeom prst="rect">
                            <a:avLst/>
                          </a:prstGeom>
                          <a:noFill/>
                          <a:ln>
                            <a:noFill/>
                          </a:ln>
                        </pic:spPr>
                      </pic:pic>
                    </a:graphicData>
                  </a:graphic>
                </wp:inline>
              </w:drawing>
            </w:r>
          </w:p>
          <w:p>
            <w:pPr>
              <w:ind w:firstLine="481"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社会效益</w:t>
            </w:r>
          </w:p>
          <w:p>
            <w:pPr>
              <w:ind w:firstLine="421" w:firstLineChars="200"/>
              <w:rPr>
                <w:b/>
                <w:bCs/>
                <w:color w:val="000000" w:themeColor="text1"/>
                <w14:textFill>
                  <w14:solidFill>
                    <w14:schemeClr w14:val="tx1"/>
                  </w14:solidFill>
                </w14:textFill>
              </w:rPr>
            </w:pPr>
            <w:r>
              <w:rPr>
                <w:b/>
                <w:bCs/>
                <w:color w:val="000000" w:themeColor="text1"/>
                <w14:textFill>
                  <w14:solidFill>
                    <w14:schemeClr w14:val="tx1"/>
                  </w14:solidFill>
                </w14:textFill>
              </w:rPr>
              <w:t>1</w:t>
            </w:r>
            <w:r>
              <w:rPr>
                <w:rFonts w:hint="eastAsia"/>
                <w:b/>
                <w:bCs/>
                <w:color w:val="000000" w:themeColor="text1"/>
                <w14:textFill>
                  <w14:solidFill>
                    <w14:schemeClr w14:val="tx1"/>
                  </w14:solidFill>
                </w14:textFill>
              </w:rPr>
              <w:t>.改变产业结构和价值链位置：</w:t>
            </w:r>
          </w:p>
          <w:p>
            <w:pPr>
              <w:ind w:firstLine="420" w:firstLineChars="200"/>
              <w:jc w:val="left"/>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模具产业互联网平台的出现改变传统模具产业的经营方式和市场格局，推动产业向数字化、网络化、智能化方向转型升级。通过互联网平台，企业可以快速获取市场信息，降低交易成本，提高生产效率，优化资源配置，实现产业链的优化和协同发展，从而提升整个产业的竞争力。</w:t>
            </w:r>
          </w:p>
          <w:p>
            <w:pPr>
              <w:ind w:firstLine="421" w:firstLineChars="200"/>
              <w:rPr>
                <w:b/>
                <w:bCs/>
                <w:color w:val="000000" w:themeColor="text1"/>
                <w14:textFill>
                  <w14:solidFill>
                    <w14:schemeClr w14:val="tx1"/>
                  </w14:solidFill>
                </w14:textFill>
              </w:rPr>
            </w:pPr>
            <w:r>
              <w:rPr>
                <w:b/>
                <w:bCs/>
                <w:color w:val="000000" w:themeColor="text1"/>
                <w14:textFill>
                  <w14:solidFill>
                    <w14:schemeClr w14:val="tx1"/>
                  </w14:solidFill>
                </w14:textFill>
              </w:rPr>
              <w:t>2</w:t>
            </w:r>
            <w:r>
              <w:rPr>
                <w:rFonts w:hint="eastAsia"/>
                <w:b/>
                <w:bCs/>
                <w:color w:val="000000" w:themeColor="text1"/>
                <w14:textFill>
                  <w14:solidFill>
                    <w14:schemeClr w14:val="tx1"/>
                  </w14:solidFill>
                </w14:textFill>
              </w:rPr>
              <w:t>.新旧模式更替和领域人才培育：</w:t>
            </w:r>
          </w:p>
          <w:p>
            <w:pPr>
              <w:ind w:firstLine="420" w:firstLineChars="200"/>
              <w:jc w:val="left"/>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传统模具产业运作方式和互联网平台模式在新旧模式更替、领域人才培育、行业发展方向等方面存在巨大差异。传统模具产业可以从互联网平台模式中借鉴新的发展方向，并通过技术创新和人才培育实现产业升级。</w:t>
            </w:r>
          </w:p>
          <w:p>
            <w:pPr>
              <w:ind w:firstLine="421" w:firstLineChars="200"/>
              <w:rPr>
                <w:b/>
                <w:bCs/>
                <w:color w:val="000000" w:themeColor="text1"/>
                <w14:textFill>
                  <w14:solidFill>
                    <w14:schemeClr w14:val="tx1"/>
                  </w14:solidFill>
                </w14:textFill>
              </w:rPr>
            </w:pPr>
            <w:r>
              <w:rPr>
                <w:b/>
                <w:bCs/>
                <w:color w:val="000000" w:themeColor="text1"/>
                <w14:textFill>
                  <w14:solidFill>
                    <w14:schemeClr w14:val="tx1"/>
                  </w14:solidFill>
                </w14:textFill>
              </w:rPr>
              <w:t>3</w:t>
            </w:r>
            <w:r>
              <w:rPr>
                <w:rFonts w:hint="eastAsia"/>
                <w:b/>
                <w:bCs/>
                <w:color w:val="000000" w:themeColor="text1"/>
                <w14:textFill>
                  <w14:solidFill>
                    <w14:schemeClr w14:val="tx1"/>
                  </w14:solidFill>
                </w14:textFill>
              </w:rPr>
              <w:t>.双碳、双链、安全生产等领域的价值：</w:t>
            </w:r>
          </w:p>
          <w:p>
            <w:pPr>
              <w:ind w:firstLine="420" w:firstLineChars="200"/>
              <w:jc w:val="left"/>
              <w:rPr>
                <w:color w:val="000000" w:themeColor="text1"/>
                <w14:textFill>
                  <w14:solidFill>
                    <w14:schemeClr w14:val="tx1"/>
                  </w14:solidFill>
                </w14:textFill>
              </w:rPr>
            </w:pPr>
            <w:r>
              <w:rPr>
                <w:rFonts w:ascii="宋体" w:hAnsi="宋体" w:cs="宋体"/>
                <w:color w:val="000000" w:themeColor="text1"/>
                <w:szCs w:val="21"/>
                <w14:textFill>
                  <w14:solidFill>
                    <w14:schemeClr w14:val="tx1"/>
                  </w14:solidFill>
                </w14:textFill>
              </w:rPr>
              <w:t>在双碳方面，模具产业互联网平台通过优化资源配置和生产流程，减少能源消耗和废弃物排放，实现绿色生产。在双链方面，互联网平台模式实现产业链的协同，提高供应链的效率，减少浪费现象。在安全生产方面，互联网平台可以通过数据分析和监控，提高生产安全水平，防范事故的发生。</w:t>
            </w:r>
          </w:p>
        </w:tc>
      </w:tr>
    </w:tbl>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80230"/>
    <w:multiLevelType w:val="singleLevel"/>
    <w:tmpl w:val="F2380230"/>
    <w:lvl w:ilvl="0" w:tentative="0">
      <w:start w:val="1"/>
      <w:numFmt w:val="decimal"/>
      <w:lvlText w:val="%1."/>
      <w:lvlJc w:val="left"/>
      <w:pPr>
        <w:tabs>
          <w:tab w:val="left" w:pos="312"/>
        </w:tabs>
      </w:pPr>
    </w:lvl>
  </w:abstractNum>
  <w:abstractNum w:abstractNumId="1">
    <w:nsid w:val="5AA67323"/>
    <w:multiLevelType w:val="singleLevel"/>
    <w:tmpl w:val="5AA67323"/>
    <w:lvl w:ilvl="0" w:tentative="0">
      <w:start w:val="1"/>
      <w:numFmt w:val="decimal"/>
      <w:lvlText w:val="%1."/>
      <w:lvlJc w:val="left"/>
      <w:pPr>
        <w:tabs>
          <w:tab w:val="left" w:pos="312"/>
        </w:tabs>
        <w:ind w:left="420"/>
      </w:pPr>
    </w:lvl>
  </w:abstractNum>
  <w:abstractNum w:abstractNumId="2">
    <w:nsid w:val="62D1E39E"/>
    <w:multiLevelType w:val="singleLevel"/>
    <w:tmpl w:val="62D1E39E"/>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0MmRlMmEyOGQwMjc5ZGE2NzJkNTAwYTM1NmE4YjgifQ=="/>
  </w:docVars>
  <w:rsids>
    <w:rsidRoot w:val="F3FFD52D"/>
    <w:rsid w:val="00053209"/>
    <w:rsid w:val="00070B16"/>
    <w:rsid w:val="001F61B5"/>
    <w:rsid w:val="0089533F"/>
    <w:rsid w:val="00DD17AB"/>
    <w:rsid w:val="021E2E72"/>
    <w:rsid w:val="024A69D2"/>
    <w:rsid w:val="02733521"/>
    <w:rsid w:val="072145DC"/>
    <w:rsid w:val="09AA3194"/>
    <w:rsid w:val="0A653E29"/>
    <w:rsid w:val="0A727599"/>
    <w:rsid w:val="0A84735B"/>
    <w:rsid w:val="0ABD0ABF"/>
    <w:rsid w:val="0ACA0AE6"/>
    <w:rsid w:val="0CCD1266"/>
    <w:rsid w:val="0ECF4E86"/>
    <w:rsid w:val="12B02CB8"/>
    <w:rsid w:val="14857D56"/>
    <w:rsid w:val="18A02CC7"/>
    <w:rsid w:val="196B246D"/>
    <w:rsid w:val="1A784A66"/>
    <w:rsid w:val="1ACE63D1"/>
    <w:rsid w:val="1B4D19EC"/>
    <w:rsid w:val="1D1B4E1C"/>
    <w:rsid w:val="1D5232E9"/>
    <w:rsid w:val="1F336B13"/>
    <w:rsid w:val="1F820A56"/>
    <w:rsid w:val="20A7291B"/>
    <w:rsid w:val="21A377BA"/>
    <w:rsid w:val="2254540E"/>
    <w:rsid w:val="25F9374E"/>
    <w:rsid w:val="26894487"/>
    <w:rsid w:val="26EE087F"/>
    <w:rsid w:val="279C5973"/>
    <w:rsid w:val="2B4029D3"/>
    <w:rsid w:val="2BB1170E"/>
    <w:rsid w:val="2E743721"/>
    <w:rsid w:val="2F1C6D61"/>
    <w:rsid w:val="2FC517A5"/>
    <w:rsid w:val="3131732D"/>
    <w:rsid w:val="31A6555A"/>
    <w:rsid w:val="331D74D0"/>
    <w:rsid w:val="33304BCD"/>
    <w:rsid w:val="34464303"/>
    <w:rsid w:val="34875D04"/>
    <w:rsid w:val="34B67E89"/>
    <w:rsid w:val="35F920FC"/>
    <w:rsid w:val="368A773D"/>
    <w:rsid w:val="37851C91"/>
    <w:rsid w:val="378B3228"/>
    <w:rsid w:val="390C0580"/>
    <w:rsid w:val="3A121F97"/>
    <w:rsid w:val="3A5612D5"/>
    <w:rsid w:val="3BFF2E84"/>
    <w:rsid w:val="3C067321"/>
    <w:rsid w:val="3C2D5F50"/>
    <w:rsid w:val="3CA6557B"/>
    <w:rsid w:val="3CFE435F"/>
    <w:rsid w:val="3DD1269D"/>
    <w:rsid w:val="3F580CD1"/>
    <w:rsid w:val="409672FB"/>
    <w:rsid w:val="410C362B"/>
    <w:rsid w:val="416B1B97"/>
    <w:rsid w:val="43281580"/>
    <w:rsid w:val="438576C5"/>
    <w:rsid w:val="458212FA"/>
    <w:rsid w:val="472B0583"/>
    <w:rsid w:val="47E46CBC"/>
    <w:rsid w:val="48313978"/>
    <w:rsid w:val="4E4B72E5"/>
    <w:rsid w:val="529D375D"/>
    <w:rsid w:val="54F326AE"/>
    <w:rsid w:val="55621614"/>
    <w:rsid w:val="568F6618"/>
    <w:rsid w:val="571166E9"/>
    <w:rsid w:val="57D97FC9"/>
    <w:rsid w:val="583B1BEF"/>
    <w:rsid w:val="585D252A"/>
    <w:rsid w:val="59EB778D"/>
    <w:rsid w:val="5A7019A2"/>
    <w:rsid w:val="5C4A2E02"/>
    <w:rsid w:val="5C664733"/>
    <w:rsid w:val="5F042A70"/>
    <w:rsid w:val="5FA42829"/>
    <w:rsid w:val="60387FE9"/>
    <w:rsid w:val="62E01DCA"/>
    <w:rsid w:val="660B2B83"/>
    <w:rsid w:val="680F433A"/>
    <w:rsid w:val="68507A83"/>
    <w:rsid w:val="6B2A277C"/>
    <w:rsid w:val="6CF90658"/>
    <w:rsid w:val="6FBE5644"/>
    <w:rsid w:val="70B06FC9"/>
    <w:rsid w:val="7139186D"/>
    <w:rsid w:val="74175417"/>
    <w:rsid w:val="75E33C54"/>
    <w:rsid w:val="7601232C"/>
    <w:rsid w:val="76251DED"/>
    <w:rsid w:val="76C665CF"/>
    <w:rsid w:val="775D3592"/>
    <w:rsid w:val="7925146E"/>
    <w:rsid w:val="79F94C37"/>
    <w:rsid w:val="7A5455CC"/>
    <w:rsid w:val="7B3C6A00"/>
    <w:rsid w:val="7EFF9216"/>
    <w:rsid w:val="DFFE7EC1"/>
    <w:rsid w:val="F3FFD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jc w:val="left"/>
      <w:outlineLvl w:val="1"/>
    </w:pPr>
    <w:rPr>
      <w:rFonts w:eastAsia="楷体_GB2312" w:cs="黑体"/>
      <w:bCs/>
      <w:color w:val="000000"/>
      <w:szCs w:val="32"/>
    </w:rPr>
  </w:style>
  <w:style w:type="paragraph" w:styleId="4">
    <w:name w:val="heading 6"/>
    <w:basedOn w:val="1"/>
    <w:next w:val="1"/>
    <w:unhideWhenUsed/>
    <w:qFormat/>
    <w:uiPriority w:val="0"/>
    <w:pPr>
      <w:keepNext/>
      <w:keepLines/>
      <w:spacing w:before="240" w:after="64" w:line="320" w:lineRule="auto"/>
      <w:outlineLvl w:val="5"/>
    </w:pPr>
    <w:rPr>
      <w:rFonts w:ascii="Cambria" w:hAnsi="Cambria"/>
      <w:b/>
      <w:bCs/>
      <w:sz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widowControl/>
      <w:ind w:firstLine="420"/>
      <w:jc w:val="left"/>
    </w:pPr>
    <w:rPr>
      <w:sz w:val="24"/>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362</Words>
  <Characters>2064</Characters>
  <Lines>17</Lines>
  <Paragraphs>4</Paragraphs>
  <TotalTime>30</TotalTime>
  <ScaleCrop>false</ScaleCrop>
  <LinksUpToDate>false</LinksUpToDate>
  <CharactersWithSpaces>2422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2023-07-29T00:49:00Z</dcterms:created>
  <dc:creator>林</dc:creator>
  <cp:lastModifiedBy>greatwall</cp:lastModifiedBy>
  <dcterms:modified xsi:type="dcterms:W3CDTF">2023-10-26T19:13:22Z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30133D201104444289C6E7D2CE2BFFB0_13</vt:lpwstr>
  </property>
</Properties>
</file>