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C89" w:rsidRDefault="00D04C89" w:rsidP="00D04C89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</w:p>
    <w:p w:rsidR="00D04C89" w:rsidRDefault="00D04C89" w:rsidP="00D04C89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04C89" w:rsidRDefault="00D04C89" w:rsidP="00D04C89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 w:hint="eastAsia"/>
          <w:sz w:val="44"/>
          <w:szCs w:val="44"/>
        </w:rPr>
        <w:t>支持企业开展两化融合管理</w:t>
      </w:r>
      <w:bookmarkEnd w:id="0"/>
      <w:r>
        <w:rPr>
          <w:rFonts w:ascii="Times New Roman" w:eastAsia="方正小标宋简体" w:hAnsi="Times New Roman" w:cs="Times New Roman" w:hint="eastAsia"/>
          <w:sz w:val="44"/>
          <w:szCs w:val="44"/>
        </w:rPr>
        <w:t>体系（升级版）贯</w:t>
      </w:r>
      <w:proofErr w:type="gramStart"/>
      <w:r>
        <w:rPr>
          <w:rFonts w:ascii="Times New Roman" w:eastAsia="方正小标宋简体" w:hAnsi="Times New Roman" w:cs="Times New Roman" w:hint="eastAsia"/>
          <w:sz w:val="44"/>
          <w:szCs w:val="44"/>
        </w:rPr>
        <w:t>标有关</w:t>
      </w:r>
      <w:proofErr w:type="gramEnd"/>
      <w:r>
        <w:rPr>
          <w:rFonts w:ascii="Times New Roman" w:eastAsia="方正小标宋简体" w:hAnsi="Times New Roman" w:cs="Times New Roman" w:hint="eastAsia"/>
          <w:sz w:val="44"/>
          <w:szCs w:val="44"/>
        </w:rPr>
        <w:t>情况的说明</w:t>
      </w:r>
    </w:p>
    <w:p w:rsidR="00D04C89" w:rsidRDefault="00D04C89" w:rsidP="00D04C89">
      <w:pPr>
        <w:snapToGrid w:val="0"/>
        <w:spacing w:line="540" w:lineRule="exact"/>
        <w:jc w:val="center"/>
        <w:outlineLvl w:val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（征求意见稿）</w:t>
      </w:r>
    </w:p>
    <w:p w:rsidR="00D04C89" w:rsidRDefault="00D04C89" w:rsidP="00D04C89">
      <w:pPr>
        <w:pStyle w:val="NormalIndent1"/>
        <w:spacing w:line="540" w:lineRule="exact"/>
      </w:pPr>
    </w:p>
    <w:p w:rsidR="00D04C89" w:rsidRDefault="00D04C89" w:rsidP="00D04C89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根据《信息化和工业化融合管理体系新型能力分级要求》（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GB/T 23006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）《信息化和工业化融合管理体系评定分级指南》（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GB/T 23007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）关于分级开展新型能力建设、分级评定等要求，参考其他省市做法，现将有关情况说明如下：</w:t>
      </w:r>
    </w:p>
    <w:p w:rsidR="00D04C89" w:rsidRDefault="00D04C89" w:rsidP="00D04C89">
      <w:pPr>
        <w:adjustRightInd w:val="0"/>
        <w:snapToGrid w:val="0"/>
        <w:spacing w:line="54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一、支持主体</w:t>
      </w:r>
    </w:p>
    <w:p w:rsidR="00D04C89" w:rsidRDefault="00D04C89" w:rsidP="00D04C89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已在广州市行政区域内设立、登记并具有独立法人资格的企业，或在我市视同法人单位统计并纳税的企业非法人分支机构，财务管理制度健全，未被列入严重违法失信企业名单。</w:t>
      </w:r>
    </w:p>
    <w:p w:rsidR="00D04C89" w:rsidRDefault="00D04C89" w:rsidP="00D04C89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支持企业为工业企业。</w:t>
      </w:r>
    </w:p>
    <w:p w:rsidR="00D04C89" w:rsidRDefault="00D04C89" w:rsidP="00D04C89">
      <w:pPr>
        <w:adjustRightInd w:val="0"/>
        <w:snapToGrid w:val="0"/>
        <w:spacing w:line="54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二、申报条件</w:t>
      </w:r>
    </w:p>
    <w:p w:rsidR="00D04C89" w:rsidRDefault="00D04C89" w:rsidP="00D04C89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已获得两化融合管理体系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AAA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AAAA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AAAAA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级证书，且未获得过市财政两化融合管理体系贯标评定奖励资金。</w:t>
      </w:r>
    </w:p>
    <w:p w:rsidR="00D04C89" w:rsidRDefault="00D04C89" w:rsidP="00D04C89">
      <w:pPr>
        <w:spacing w:line="54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评定证书状态有效。</w:t>
      </w:r>
    </w:p>
    <w:p w:rsidR="00D04C89" w:rsidRDefault="00D04C89" w:rsidP="00D04C89">
      <w:pPr>
        <w:adjustRightInd w:val="0"/>
        <w:snapToGrid w:val="0"/>
        <w:spacing w:line="54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三、奖励标准</w:t>
      </w:r>
    </w:p>
    <w:p w:rsidR="00D04C89" w:rsidRDefault="00D04C89" w:rsidP="00D04C89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对通过国家两化融合管理体系贯标评定且达到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AAA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AAAA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AAAAA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级的企业，分级分类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给予最高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万元奖励。</w:t>
      </w:r>
    </w:p>
    <w:p w:rsidR="00D04C89" w:rsidRDefault="00D04C89" w:rsidP="00D04C89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市工业和信息化局根据年度预算规模和实际申报数量，确定当年具体奖励标准。</w:t>
      </w:r>
    </w:p>
    <w:p w:rsidR="00D04C89" w:rsidRDefault="00D04C89" w:rsidP="00D04C89">
      <w:pPr>
        <w:pStyle w:val="NormalIndent1"/>
        <w:spacing w:line="540" w:lineRule="exact"/>
      </w:pPr>
    </w:p>
    <w:p w:rsidR="001E58CC" w:rsidRPr="00D04C89" w:rsidRDefault="001E58CC"/>
    <w:sectPr w:rsidR="001E58CC" w:rsidRPr="00D04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20000287" w:usb1="00000000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89"/>
    <w:rsid w:val="001E58CC"/>
    <w:rsid w:val="00D04C89"/>
    <w:rsid w:val="00FA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D532E-9013-4367-8A4A-B76CFE65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04C89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Indent1">
    <w:name w:val="Normal Indent1"/>
    <w:basedOn w:val="a"/>
    <w:next w:val="a"/>
    <w:qFormat/>
    <w:rsid w:val="00D04C89"/>
    <w:pPr>
      <w:ind w:firstLine="624"/>
      <w:jc w:val="left"/>
    </w:pPr>
    <w:rPr>
      <w:rFonts w:ascii="Calibri" w:eastAsia="宋体" w:hAnsi="Calibri" w:cs="Times New Roman"/>
      <w:szCs w:val="22"/>
    </w:rPr>
  </w:style>
  <w:style w:type="paragraph" w:styleId="a0">
    <w:name w:val="Body Text"/>
    <w:basedOn w:val="a"/>
    <w:link w:val="a4"/>
    <w:uiPriority w:val="99"/>
    <w:semiHidden/>
    <w:unhideWhenUsed/>
    <w:rsid w:val="00D04C89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D04C8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1</cp:revision>
  <dcterms:created xsi:type="dcterms:W3CDTF">2023-07-07T07:48:00Z</dcterms:created>
  <dcterms:modified xsi:type="dcterms:W3CDTF">2023-07-07T08:03:00Z</dcterms:modified>
</cp:coreProperties>
</file>