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方正黑体_GBK" w:cs="Times New Roman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  <w:highlight w:val="none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  <w:highlight w:val="none"/>
          <w:lang w:val="en-US" w:eastAsia="zh-CN"/>
        </w:rPr>
        <w:t>3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textAlignment w:val="auto"/>
        <w:rPr>
          <w:rFonts w:hint="default"/>
          <w:lang w:val="en-US" w:eastAsia="zh-CN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highlight w:val="none"/>
        </w:rPr>
        <w:t>关于支持工业厂房建设的若干措施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0" w:firstLineChars="0"/>
        <w:jc w:val="center"/>
        <w:textAlignment w:val="auto"/>
        <w:rPr>
          <w:rFonts w:hint="eastAsia" w:ascii="楷体_GB2312" w:hAnsi="楷体_GB2312" w:eastAsia="楷体_GB2312" w:cs="楷体_GB2312"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"/>
        </w:rPr>
        <w:t>（公开征求意见稿）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center"/>
        <w:textAlignment w:val="auto"/>
        <w:rPr>
          <w:rFonts w:hint="eastAsia" w:ascii="Calibri" w:hAnsi="Calibri" w:eastAsia="仿宋_GB2312" w:cs="Times New Roman"/>
          <w:kern w:val="2"/>
          <w:sz w:val="32"/>
          <w:szCs w:val="32"/>
        </w:rPr>
      </w:pPr>
      <w:r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第一条【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鼓励高标准厂房建设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both"/>
        <w:textAlignment w:val="auto"/>
        <w:rPr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鼓励建设符合《广东省高标准厂房设计规范》（DBJ/T15-235-2021）、广州市产业导向和政策要求以及所在区关于税收、经济贡献和成长性等方面标准的高标准厂房</w:t>
      </w:r>
      <w:r>
        <w:rPr>
          <w:rFonts w:hint="eastAsia" w:ascii="仿宋_GB2312" w:hAnsi="仿宋_GB2312" w:cs="仿宋_GB2312"/>
          <w:sz w:val="32"/>
          <w:szCs w:val="32"/>
          <w:highlight w:val="none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工业大厦，打造集设计、研发、创新、运营、智能制造于一体的“工业综合体”。各区应制定建设高标准厂房</w:t>
      </w:r>
      <w:r>
        <w:rPr>
          <w:rFonts w:hint="eastAsia" w:ascii="仿宋_GB2312" w:hAnsi="仿宋_GB2312" w:cs="仿宋_GB2312"/>
          <w:sz w:val="32"/>
          <w:szCs w:val="32"/>
          <w:highlight w:val="none"/>
          <w:lang w:eastAsia="zh-CN"/>
        </w:rPr>
        <w:t>和工业大厦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的实施细则，明确土地出让时产业用房分割登记、转让的比例上限和不得再次转让的年限。优化高标准厂房容积率计算标准，高标准厂房各层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按照单层水平投影面积计算容积率。各区根据相关标准认定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报市工信部门备案。</w:t>
      </w:r>
      <w:r>
        <w:rPr>
          <w:rFonts w:hint="eastAsia" w:ascii="方正楷体_GBK" w:hAnsi="方正楷体_GBK" w:eastAsia="方正楷体_GBK" w:cs="方正楷体_GBK"/>
          <w:sz w:val="32"/>
          <w:szCs w:val="32"/>
          <w:highlight w:val="none"/>
          <w:lang w:eastAsia="zh-CN"/>
        </w:rPr>
        <w:t>（责任单位：市工业和信息化局、住房和城乡建设局、规划和自然资源局，各区政府</w:t>
      </w:r>
      <w:r>
        <w:rPr>
          <w:rFonts w:hint="eastAsia" w:ascii="楷体_GB2312" w:hAnsi="楷体_GB2312" w:eastAsia="楷体_GB2312" w:cs="楷体_GB2312"/>
          <w:highlight w:val="none"/>
          <w:lang w:eastAsia="zh-CN"/>
        </w:rPr>
        <w:t>（含市政府派出机构，下同）</w:t>
      </w:r>
      <w:r>
        <w:rPr>
          <w:rFonts w:hint="eastAsia" w:ascii="方正楷体_GBK" w:hAnsi="方正楷体_GBK" w:eastAsia="方正楷体_GBK" w:cs="方正楷体_GBK"/>
          <w:sz w:val="32"/>
          <w:szCs w:val="32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第二条【探索专用型厂房建设】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为引导产业合理有序布局，促进产业集聚发展，鼓励分行业建设专用型厂房</w:t>
      </w:r>
      <w:r>
        <w:rPr>
          <w:rFonts w:hint="eastAsia" w:ascii="仿宋_GB2312" w:hAnsi="仿宋_GB2312" w:cs="仿宋_GB2312"/>
          <w:sz w:val="32"/>
          <w:szCs w:val="32"/>
          <w:highlight w:val="none"/>
          <w:lang w:eastAsia="zh-CN"/>
        </w:rPr>
        <w:t>，并可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  <w:t>通过</w:t>
      </w:r>
      <w:r>
        <w:rPr>
          <w:rFonts w:hint="eastAsia" w:ascii="仿宋_GB2312" w:hAnsi="仿宋_GB2312" w:cs="仿宋_GB2312"/>
          <w:kern w:val="2"/>
          <w:sz w:val="32"/>
          <w:szCs w:val="32"/>
          <w:highlight w:val="none"/>
          <w:lang w:val="en-US" w:eastAsia="zh-CN" w:bidi="ar"/>
        </w:rPr>
        <w:t>特殊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  <w:t>工艺流程论证优化容积率计算标准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。鼓励各区结合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本地区先进制造业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发展重点方向，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制定针对特定制造业行业专用型厂房的建设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规模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、经济</w:t>
      </w:r>
      <w:r>
        <w:rPr>
          <w:rFonts w:hint="eastAsia" w:ascii="仿宋_GB2312" w:hAnsi="仿宋_GB2312" w:cs="仿宋_GB2312"/>
          <w:sz w:val="32"/>
          <w:szCs w:val="32"/>
          <w:highlight w:val="none"/>
          <w:u w:val="none"/>
          <w:lang w:eastAsia="zh-CN"/>
        </w:rPr>
        <w:t>数据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指标、厂房技术指标</w:t>
      </w:r>
      <w:r>
        <w:rPr>
          <w:rFonts w:hint="eastAsia" w:ascii="仿宋_GB2312" w:hAnsi="仿宋_GB2312" w:cs="仿宋_GB2312"/>
          <w:sz w:val="32"/>
          <w:szCs w:val="32"/>
          <w:highlight w:val="none"/>
          <w:u w:val="none"/>
          <w:lang w:eastAsia="zh-CN"/>
        </w:rPr>
        <w:t>，并以此为依据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认定</w:t>
      </w:r>
      <w:r>
        <w:rPr>
          <w:rFonts w:hint="eastAsia" w:ascii="仿宋_GB2312" w:hAnsi="仿宋_GB2312" w:cs="仿宋_GB2312"/>
          <w:sz w:val="32"/>
          <w:szCs w:val="32"/>
          <w:highlight w:val="none"/>
          <w:lang w:eastAsia="zh-CN"/>
        </w:rPr>
        <w:t>专用型厂房项目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报市工信部门备案。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  <w:lang w:val="en-US" w:eastAsia="zh-CN"/>
        </w:rPr>
        <w:t>已备案的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</w:rPr>
        <w:t>专用型厂房</w:t>
      </w:r>
      <w:r>
        <w:rPr>
          <w:rFonts w:hint="eastAsia" w:ascii="仿宋_GB2312" w:hAnsi="仿宋_GB2312" w:cs="仿宋_GB2312"/>
          <w:sz w:val="32"/>
          <w:szCs w:val="32"/>
          <w:highlight w:val="none"/>
          <w:shd w:val="clear"/>
          <w:lang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  <w:lang w:val="en-US" w:eastAsia="zh-CN"/>
        </w:rPr>
        <w:t>当达到约定经济指标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50%，区财政给予建设投资方奖补的，市财政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按照1：1的比例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给予配套支持，单个项目最高不超过500万元。</w:t>
      </w:r>
      <w:r>
        <w:rPr>
          <w:rFonts w:hint="eastAsia" w:ascii="方正楷体_GBK" w:hAnsi="方正楷体_GBK" w:eastAsia="方正楷体_GBK" w:cs="方正楷体_GBK"/>
          <w:sz w:val="32"/>
          <w:szCs w:val="32"/>
          <w:highlight w:val="none"/>
          <w:lang w:eastAsia="zh-CN"/>
        </w:rPr>
        <w:t>（责任单位：市工业和信息化局、住房和城乡建设局、规划和自然资源局、财政局，各区政府）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第三条【支持产业保障房建设】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支持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各区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将工业用地划拨给工业和信息化主管部门、开发区（产业园区）管委会或者具有产业保障房建设职能的机构，用于建设只租不售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产业保障房。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cs="仿宋_GB2312"/>
          <w:b w:val="0"/>
          <w:kern w:val="2"/>
          <w:sz w:val="32"/>
          <w:szCs w:val="32"/>
          <w:highlight w:val="none"/>
          <w:lang w:val="en-US" w:eastAsia="zh-CN"/>
        </w:rPr>
        <w:t>各区公开出让工业用地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</w:rPr>
        <w:t>用于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  <w:lang w:val="en-US" w:eastAsia="zh-CN"/>
        </w:rPr>
        <w:t>建设</w:t>
      </w:r>
      <w:r>
        <w:rPr>
          <w:rFonts w:hint="eastAsia" w:ascii="仿宋_GB2312" w:hAnsi="仿宋_GB2312" w:cs="仿宋_GB2312"/>
          <w:b w:val="0"/>
          <w:kern w:val="2"/>
          <w:sz w:val="32"/>
          <w:szCs w:val="32"/>
          <w:highlight w:val="none"/>
          <w:lang w:eastAsia="zh-CN"/>
        </w:rPr>
        <w:t>工业园区并配建产业保障房的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</w:rPr>
        <w:t>，</w:t>
      </w:r>
      <w:r>
        <w:rPr>
          <w:rFonts w:hint="eastAsia" w:ascii="仿宋_GB2312" w:hAnsi="仿宋_GB2312" w:cs="仿宋_GB2312"/>
          <w:b w:val="0"/>
          <w:kern w:val="2"/>
          <w:sz w:val="32"/>
          <w:szCs w:val="32"/>
          <w:highlight w:val="none"/>
          <w:lang w:val="en-US" w:eastAsia="zh-CN"/>
        </w:rPr>
        <w:t>土地竞得方在按要求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  <w:lang w:val="en-US" w:eastAsia="zh-CN"/>
        </w:rPr>
        <w:t>建设完成并无偿移交产业保障房后，</w:t>
      </w:r>
      <w:r>
        <w:rPr>
          <w:rFonts w:hint="eastAsia" w:ascii="仿宋_GB2312" w:hAnsi="仿宋_GB2312" w:cs="仿宋_GB2312"/>
          <w:b w:val="0"/>
          <w:kern w:val="2"/>
          <w:sz w:val="32"/>
          <w:szCs w:val="32"/>
          <w:highlight w:val="none"/>
          <w:lang w:val="en-US" w:eastAsia="zh-CN"/>
        </w:rPr>
        <w:t>工业园区产业用房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</w:rPr>
        <w:t>可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  <w:lang w:val="en-US" w:eastAsia="zh-CN"/>
        </w:rPr>
        <w:t>全部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</w:rPr>
        <w:t>分割转让。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产业保障房建设主体应与相关管理主体签订项目监管协议书，监管协议书应明确项目设计要求、建设标准、产权限制、建设工期等内容</w:t>
      </w:r>
      <w:r>
        <w:rPr>
          <w:rFonts w:hint="eastAsia" w:ascii="仿宋_GB2312" w:hAnsi="仿宋_GB2312" w:cs="仿宋_GB2312"/>
          <w:sz w:val="32"/>
          <w:szCs w:val="32"/>
          <w:highlight w:val="none"/>
          <w:lang w:eastAsia="zh-CN"/>
        </w:rPr>
        <w:t>，并作为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土地出让合同</w:t>
      </w:r>
      <w:r>
        <w:rPr>
          <w:rFonts w:hint="eastAsia" w:ascii="仿宋_GB2312" w:hAnsi="仿宋_GB2312" w:cs="仿宋_GB2312"/>
          <w:sz w:val="32"/>
          <w:szCs w:val="32"/>
          <w:highlight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产业保障房租金价格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按照主城区内不高于30元/平方米/月，主城区外不高于20元/平方米/月。</w:t>
      </w:r>
      <w:r>
        <w:rPr>
          <w:rFonts w:hint="eastAsia" w:ascii="方正楷体_GBK" w:hAnsi="方正楷体_GBK" w:eastAsia="方正楷体_GBK" w:cs="方正楷体_GBK"/>
          <w:sz w:val="32"/>
          <w:szCs w:val="32"/>
          <w:highlight w:val="none"/>
          <w:lang w:eastAsia="zh-CN"/>
        </w:rPr>
        <w:t>（责任单位：各区政府，市规划和自然资源局、工业和信息化局、住房和城乡建设局、财政局）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highlight w:val="none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第四条【工业厂房弹性租期出售】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支持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各区制造业企业产业用房分割转让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各区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细化分割登记、转让和受让的主体需要符合的条件。对于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已备案、可出售的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高标准厂房、专用型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厂房项目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采取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先租后售、弹性租期出售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等方式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出售给优质制造业企业。租赁时间可根据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以下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企业的资质条件调整：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属于国家工信部专精特新“小巨人”企业、“单项冠军”示范企业的，可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直接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进行转让；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属于省级专精特新企业的，租赁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年后即可进行转让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  <w:r>
        <w:rPr>
          <w:rFonts w:hint="eastAsia" w:ascii="方正楷体_GBK" w:hAnsi="方正楷体_GBK" w:eastAsia="方正楷体_GBK" w:cs="方正楷体_GBK"/>
          <w:sz w:val="32"/>
          <w:szCs w:val="32"/>
          <w:highlight w:val="none"/>
          <w:lang w:eastAsia="zh-CN"/>
        </w:rPr>
        <w:t>（责任单位：市规划和自然资源局、工业和信息化局、住房和城乡建设局，各区政府）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both"/>
        <w:textAlignment w:val="auto"/>
        <w:rPr>
          <w:color w:val="FF0000"/>
          <w:sz w:val="32"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第五条【加强厂房基础设施配套】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加强工业厂房配套设施建设，电力、通信、环保、供排水管网、供气管网、安全、消防、海绵城市等配套设施能够满足入驻中小微企业生产经营的需要。产业类设施的开发应不迟于非产业类配套设施的开发。结合实际需求为远离城镇的项目按要求配套建设宿舍、食堂、文体等生活设施。</w:t>
      </w:r>
      <w:r>
        <w:rPr>
          <w:rFonts w:hint="eastAsia" w:ascii="方正楷体_GBK" w:hAnsi="方正楷体_GBK" w:eastAsia="方正楷体_GBK" w:cs="方正楷体_GBK"/>
          <w:sz w:val="32"/>
          <w:szCs w:val="32"/>
          <w:highlight w:val="none"/>
          <w:lang w:eastAsia="zh-CN"/>
        </w:rPr>
        <w:t>（责任单位：市规划和自然资源局、住房和城乡建设局、生态环境局、水务局、应急管理局、广州市城市管理和综合执法局工业和信息化局、广州供电局，各区政府）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color w:val="FF0000"/>
          <w:sz w:val="21"/>
          <w:szCs w:val="21"/>
          <w:highlight w:val="none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ind w:firstLine="0" w:firstLineChars="0"/>
                            <w:rPr>
                              <w:rFonts w:ascii="仿宋_GB2312" w:hAnsi="仿宋_GB2312" w:cs="仿宋_GB2312"/>
                              <w:sz w:val="24"/>
                            </w:rPr>
                          </w:pPr>
                          <w:r>
                            <w:rPr>
                              <w:rFonts w:hint="eastAsia" w:ascii="仿宋_GB2312" w:hAnsi="仿宋_GB2312" w:cs="仿宋_GB2312"/>
                              <w:sz w:val="24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cs="仿宋_GB2312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cs="仿宋_GB2312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cs="仿宋_GB2312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cs="仿宋_GB2312"/>
                              <w:sz w:val="24"/>
                            </w:rPr>
                            <w:t>5</w:t>
                          </w:r>
                          <w:r>
                            <w:rPr>
                              <w:rFonts w:hint="eastAsia" w:ascii="仿宋_GB2312" w:hAnsi="仿宋_GB2312" w:cs="仿宋_GB2312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cs="仿宋_GB2312"/>
                              <w:sz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ind w:firstLine="0" w:firstLineChars="0"/>
                      <w:rPr>
                        <w:rFonts w:ascii="仿宋_GB2312" w:hAnsi="仿宋_GB2312" w:cs="仿宋_GB2312"/>
                        <w:sz w:val="24"/>
                      </w:rPr>
                    </w:pPr>
                    <w:r>
                      <w:rPr>
                        <w:rFonts w:hint="eastAsia" w:ascii="仿宋_GB2312" w:hAnsi="仿宋_GB2312" w:cs="仿宋_GB2312"/>
                        <w:sz w:val="24"/>
                      </w:rPr>
                      <w:t>—</w:t>
                    </w:r>
                    <w:r>
                      <w:rPr>
                        <w:rFonts w:hint="eastAsia" w:ascii="仿宋_GB2312" w:hAnsi="仿宋_GB2312" w:cs="仿宋_GB2312"/>
                        <w:sz w:val="24"/>
                      </w:rPr>
                      <w:fldChar w:fldCharType="begin"/>
                    </w:r>
                    <w:r>
                      <w:rPr>
                        <w:rFonts w:hint="eastAsia" w:ascii="仿宋_GB2312" w:hAnsi="仿宋_GB2312" w:cs="仿宋_GB2312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cs="仿宋_GB2312"/>
                        <w:sz w:val="24"/>
                      </w:rPr>
                      <w:fldChar w:fldCharType="separate"/>
                    </w:r>
                    <w:r>
                      <w:rPr>
                        <w:rFonts w:ascii="仿宋_GB2312" w:hAnsi="仿宋_GB2312" w:cs="仿宋_GB2312"/>
                        <w:sz w:val="24"/>
                      </w:rPr>
                      <w:t>5</w:t>
                    </w:r>
                    <w:r>
                      <w:rPr>
                        <w:rFonts w:hint="eastAsia" w:ascii="仿宋_GB2312" w:hAnsi="仿宋_GB2312" w:cs="仿宋_GB2312"/>
                        <w:sz w:val="24"/>
                      </w:rPr>
                      <w:fldChar w:fldCharType="end"/>
                    </w:r>
                    <w:r>
                      <w:rPr>
                        <w:rFonts w:hint="eastAsia" w:ascii="仿宋_GB2312" w:hAnsi="仿宋_GB2312" w:cs="仿宋_GB2312"/>
                        <w:sz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A27488"/>
    <w:multiLevelType w:val="multilevel"/>
    <w:tmpl w:val="16A27488"/>
    <w:lvl w:ilvl="0" w:tentative="0">
      <w:start w:val="1"/>
      <w:numFmt w:val="chineseCountingThousand"/>
      <w:pStyle w:val="2"/>
      <w:lvlText w:val="第%1条"/>
      <w:lvlJc w:val="left"/>
      <w:pPr>
        <w:ind w:left="5098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720" w:hanging="420"/>
      </w:pPr>
    </w:lvl>
    <w:lvl w:ilvl="2" w:tentative="0">
      <w:start w:val="1"/>
      <w:numFmt w:val="lowerRoman"/>
      <w:lvlText w:val="%3."/>
      <w:lvlJc w:val="right"/>
      <w:pPr>
        <w:ind w:left="2140" w:hanging="420"/>
      </w:pPr>
    </w:lvl>
    <w:lvl w:ilvl="3" w:tentative="0">
      <w:start w:val="1"/>
      <w:numFmt w:val="decimal"/>
      <w:lvlText w:val="%4."/>
      <w:lvlJc w:val="left"/>
      <w:pPr>
        <w:ind w:left="2560" w:hanging="420"/>
      </w:pPr>
    </w:lvl>
    <w:lvl w:ilvl="4" w:tentative="0">
      <w:start w:val="1"/>
      <w:numFmt w:val="lowerLetter"/>
      <w:lvlText w:val="%5)"/>
      <w:lvlJc w:val="left"/>
      <w:pPr>
        <w:ind w:left="2980" w:hanging="420"/>
      </w:pPr>
    </w:lvl>
    <w:lvl w:ilvl="5" w:tentative="0">
      <w:start w:val="1"/>
      <w:numFmt w:val="lowerRoman"/>
      <w:lvlText w:val="%6."/>
      <w:lvlJc w:val="right"/>
      <w:pPr>
        <w:ind w:left="3400" w:hanging="420"/>
      </w:pPr>
    </w:lvl>
    <w:lvl w:ilvl="6" w:tentative="0">
      <w:start w:val="1"/>
      <w:numFmt w:val="decimal"/>
      <w:lvlText w:val="%7."/>
      <w:lvlJc w:val="left"/>
      <w:pPr>
        <w:ind w:left="3820" w:hanging="420"/>
      </w:pPr>
    </w:lvl>
    <w:lvl w:ilvl="7" w:tentative="0">
      <w:start w:val="1"/>
      <w:numFmt w:val="lowerLetter"/>
      <w:lvlText w:val="%8)"/>
      <w:lvlJc w:val="left"/>
      <w:pPr>
        <w:ind w:left="4240" w:hanging="420"/>
      </w:pPr>
    </w:lvl>
    <w:lvl w:ilvl="8" w:tentative="0">
      <w:start w:val="1"/>
      <w:numFmt w:val="lowerRoman"/>
      <w:lvlText w:val="%9."/>
      <w:lvlJc w:val="right"/>
      <w:pPr>
        <w:ind w:left="46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false"/>
  <w:bordersDoNotSurroundFooter w:val="fals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c2Njg0ZjQ3NmI5ZGNiMmI2ZGM5NDQzODU2NmIzNDcifQ=="/>
  </w:docVars>
  <w:rsids>
    <w:rsidRoot w:val="00811BB5"/>
    <w:rsid w:val="0000189F"/>
    <w:rsid w:val="00004440"/>
    <w:rsid w:val="00010D37"/>
    <w:rsid w:val="0001294D"/>
    <w:rsid w:val="000139CC"/>
    <w:rsid w:val="00034DD1"/>
    <w:rsid w:val="00036BF3"/>
    <w:rsid w:val="00045C2F"/>
    <w:rsid w:val="00047962"/>
    <w:rsid w:val="00052B6B"/>
    <w:rsid w:val="00055EE6"/>
    <w:rsid w:val="00086105"/>
    <w:rsid w:val="000863A8"/>
    <w:rsid w:val="00097B44"/>
    <w:rsid w:val="000A15A2"/>
    <w:rsid w:val="000A5DE4"/>
    <w:rsid w:val="000B0185"/>
    <w:rsid w:val="000C053D"/>
    <w:rsid w:val="000C38B8"/>
    <w:rsid w:val="000D1058"/>
    <w:rsid w:val="000D39A4"/>
    <w:rsid w:val="000E76AD"/>
    <w:rsid w:val="0011100A"/>
    <w:rsid w:val="0012355A"/>
    <w:rsid w:val="001245C8"/>
    <w:rsid w:val="00136723"/>
    <w:rsid w:val="00156583"/>
    <w:rsid w:val="00156CCD"/>
    <w:rsid w:val="001647D8"/>
    <w:rsid w:val="0016600A"/>
    <w:rsid w:val="00170113"/>
    <w:rsid w:val="00170D5E"/>
    <w:rsid w:val="00196E55"/>
    <w:rsid w:val="001A32F7"/>
    <w:rsid w:val="001C1970"/>
    <w:rsid w:val="001C5048"/>
    <w:rsid w:val="001D6F6E"/>
    <w:rsid w:val="00210640"/>
    <w:rsid w:val="00210B58"/>
    <w:rsid w:val="00212B23"/>
    <w:rsid w:val="00221C8C"/>
    <w:rsid w:val="0023395B"/>
    <w:rsid w:val="00247B5B"/>
    <w:rsid w:val="00257B30"/>
    <w:rsid w:val="00262227"/>
    <w:rsid w:val="0029403E"/>
    <w:rsid w:val="0029440D"/>
    <w:rsid w:val="00295C95"/>
    <w:rsid w:val="002A13F1"/>
    <w:rsid w:val="002A1487"/>
    <w:rsid w:val="002B060B"/>
    <w:rsid w:val="002B2E85"/>
    <w:rsid w:val="002C1BC6"/>
    <w:rsid w:val="0034125B"/>
    <w:rsid w:val="0034305E"/>
    <w:rsid w:val="00346652"/>
    <w:rsid w:val="00352755"/>
    <w:rsid w:val="00362D1B"/>
    <w:rsid w:val="00374D71"/>
    <w:rsid w:val="003806C6"/>
    <w:rsid w:val="00383A0F"/>
    <w:rsid w:val="003879F6"/>
    <w:rsid w:val="00394B9F"/>
    <w:rsid w:val="003A012D"/>
    <w:rsid w:val="003C6509"/>
    <w:rsid w:val="003E0363"/>
    <w:rsid w:val="003E0757"/>
    <w:rsid w:val="003F0F04"/>
    <w:rsid w:val="004228A3"/>
    <w:rsid w:val="0042426D"/>
    <w:rsid w:val="00431E8D"/>
    <w:rsid w:val="00435CC7"/>
    <w:rsid w:val="00451136"/>
    <w:rsid w:val="00457287"/>
    <w:rsid w:val="004841E2"/>
    <w:rsid w:val="004A032B"/>
    <w:rsid w:val="004C1EC7"/>
    <w:rsid w:val="004C3B63"/>
    <w:rsid w:val="004C4C81"/>
    <w:rsid w:val="004D04C7"/>
    <w:rsid w:val="005144AC"/>
    <w:rsid w:val="00517680"/>
    <w:rsid w:val="00520FC5"/>
    <w:rsid w:val="00533781"/>
    <w:rsid w:val="00553753"/>
    <w:rsid w:val="00556622"/>
    <w:rsid w:val="0055701E"/>
    <w:rsid w:val="00580B0C"/>
    <w:rsid w:val="00590BDA"/>
    <w:rsid w:val="00593ACB"/>
    <w:rsid w:val="00595B2A"/>
    <w:rsid w:val="00595F44"/>
    <w:rsid w:val="005C659D"/>
    <w:rsid w:val="005E6164"/>
    <w:rsid w:val="005F7B05"/>
    <w:rsid w:val="0060274C"/>
    <w:rsid w:val="00607765"/>
    <w:rsid w:val="00607E5E"/>
    <w:rsid w:val="00611F6F"/>
    <w:rsid w:val="00617EC2"/>
    <w:rsid w:val="00621BAD"/>
    <w:rsid w:val="0062316F"/>
    <w:rsid w:val="00626285"/>
    <w:rsid w:val="00651F87"/>
    <w:rsid w:val="00663449"/>
    <w:rsid w:val="00675EB9"/>
    <w:rsid w:val="00686522"/>
    <w:rsid w:val="00693BB8"/>
    <w:rsid w:val="00694D37"/>
    <w:rsid w:val="00694D63"/>
    <w:rsid w:val="006A59F9"/>
    <w:rsid w:val="006C108C"/>
    <w:rsid w:val="006C7A6A"/>
    <w:rsid w:val="006F3909"/>
    <w:rsid w:val="00715805"/>
    <w:rsid w:val="00736537"/>
    <w:rsid w:val="00741991"/>
    <w:rsid w:val="00745ED7"/>
    <w:rsid w:val="00755125"/>
    <w:rsid w:val="007626F9"/>
    <w:rsid w:val="00771BE8"/>
    <w:rsid w:val="007740A2"/>
    <w:rsid w:val="00775004"/>
    <w:rsid w:val="00784886"/>
    <w:rsid w:val="00787638"/>
    <w:rsid w:val="00797E81"/>
    <w:rsid w:val="007B792A"/>
    <w:rsid w:val="007B7A24"/>
    <w:rsid w:val="007C514A"/>
    <w:rsid w:val="007D6E88"/>
    <w:rsid w:val="007E0D59"/>
    <w:rsid w:val="007F7CB3"/>
    <w:rsid w:val="008034EF"/>
    <w:rsid w:val="00805689"/>
    <w:rsid w:val="008119A6"/>
    <w:rsid w:val="00811BB5"/>
    <w:rsid w:val="00862287"/>
    <w:rsid w:val="00864087"/>
    <w:rsid w:val="00864159"/>
    <w:rsid w:val="008650A2"/>
    <w:rsid w:val="008903AA"/>
    <w:rsid w:val="008963E4"/>
    <w:rsid w:val="008A33C1"/>
    <w:rsid w:val="008D2C1B"/>
    <w:rsid w:val="008D560D"/>
    <w:rsid w:val="008E2239"/>
    <w:rsid w:val="008E75E6"/>
    <w:rsid w:val="008E7A0C"/>
    <w:rsid w:val="00901A4C"/>
    <w:rsid w:val="00904BB4"/>
    <w:rsid w:val="00906CC2"/>
    <w:rsid w:val="009301C0"/>
    <w:rsid w:val="00947486"/>
    <w:rsid w:val="0095109E"/>
    <w:rsid w:val="0095287B"/>
    <w:rsid w:val="00953029"/>
    <w:rsid w:val="00957161"/>
    <w:rsid w:val="00962C9C"/>
    <w:rsid w:val="00964EA5"/>
    <w:rsid w:val="009651E2"/>
    <w:rsid w:val="00990261"/>
    <w:rsid w:val="00994C3F"/>
    <w:rsid w:val="009B2BF1"/>
    <w:rsid w:val="00A1774E"/>
    <w:rsid w:val="00A20448"/>
    <w:rsid w:val="00A40687"/>
    <w:rsid w:val="00A633EF"/>
    <w:rsid w:val="00A8056B"/>
    <w:rsid w:val="00A92A10"/>
    <w:rsid w:val="00A95563"/>
    <w:rsid w:val="00AA1121"/>
    <w:rsid w:val="00AA54B5"/>
    <w:rsid w:val="00AB1341"/>
    <w:rsid w:val="00AB5579"/>
    <w:rsid w:val="00AD2D09"/>
    <w:rsid w:val="00AD68CA"/>
    <w:rsid w:val="00B174C5"/>
    <w:rsid w:val="00B22E53"/>
    <w:rsid w:val="00B25985"/>
    <w:rsid w:val="00B81C2A"/>
    <w:rsid w:val="00BB774E"/>
    <w:rsid w:val="00BC0E21"/>
    <w:rsid w:val="00BE4EE3"/>
    <w:rsid w:val="00BE611B"/>
    <w:rsid w:val="00BF75F2"/>
    <w:rsid w:val="00C17BC8"/>
    <w:rsid w:val="00C20291"/>
    <w:rsid w:val="00C25892"/>
    <w:rsid w:val="00C325E9"/>
    <w:rsid w:val="00C34763"/>
    <w:rsid w:val="00C35EF1"/>
    <w:rsid w:val="00C42692"/>
    <w:rsid w:val="00C50CAA"/>
    <w:rsid w:val="00C5306D"/>
    <w:rsid w:val="00C55D4F"/>
    <w:rsid w:val="00C819FC"/>
    <w:rsid w:val="00CC50B9"/>
    <w:rsid w:val="00CD14CD"/>
    <w:rsid w:val="00CF7A31"/>
    <w:rsid w:val="00D1270F"/>
    <w:rsid w:val="00D210FB"/>
    <w:rsid w:val="00D22F20"/>
    <w:rsid w:val="00D316EC"/>
    <w:rsid w:val="00D50809"/>
    <w:rsid w:val="00D52347"/>
    <w:rsid w:val="00D53AF2"/>
    <w:rsid w:val="00D62CDA"/>
    <w:rsid w:val="00D6530F"/>
    <w:rsid w:val="00D676BD"/>
    <w:rsid w:val="00D775FA"/>
    <w:rsid w:val="00D949FC"/>
    <w:rsid w:val="00D97211"/>
    <w:rsid w:val="00DA18EE"/>
    <w:rsid w:val="00DB7DE8"/>
    <w:rsid w:val="00DC039E"/>
    <w:rsid w:val="00DC742D"/>
    <w:rsid w:val="00DE02D5"/>
    <w:rsid w:val="00DE38E1"/>
    <w:rsid w:val="00E00CEC"/>
    <w:rsid w:val="00E013F5"/>
    <w:rsid w:val="00E13C1E"/>
    <w:rsid w:val="00E216B8"/>
    <w:rsid w:val="00E35C85"/>
    <w:rsid w:val="00E3743C"/>
    <w:rsid w:val="00E404CB"/>
    <w:rsid w:val="00E43682"/>
    <w:rsid w:val="00E441A8"/>
    <w:rsid w:val="00E57921"/>
    <w:rsid w:val="00EA66FC"/>
    <w:rsid w:val="00EC1766"/>
    <w:rsid w:val="00EC7311"/>
    <w:rsid w:val="00ED1ED5"/>
    <w:rsid w:val="00ED2450"/>
    <w:rsid w:val="00EE0FCF"/>
    <w:rsid w:val="00EE6609"/>
    <w:rsid w:val="00EF16F0"/>
    <w:rsid w:val="00F078A9"/>
    <w:rsid w:val="00F12545"/>
    <w:rsid w:val="00F26425"/>
    <w:rsid w:val="00F4713B"/>
    <w:rsid w:val="00F47A34"/>
    <w:rsid w:val="00F6177F"/>
    <w:rsid w:val="00F727E3"/>
    <w:rsid w:val="00F81121"/>
    <w:rsid w:val="00F852F3"/>
    <w:rsid w:val="00FB036E"/>
    <w:rsid w:val="00FC4F93"/>
    <w:rsid w:val="00FD3FDE"/>
    <w:rsid w:val="00FE32F5"/>
    <w:rsid w:val="00FF17ED"/>
    <w:rsid w:val="00FF4366"/>
    <w:rsid w:val="00FF6A79"/>
    <w:rsid w:val="01F66ABD"/>
    <w:rsid w:val="07612C2A"/>
    <w:rsid w:val="0D7FC696"/>
    <w:rsid w:val="0ED308B1"/>
    <w:rsid w:val="0FB62A4E"/>
    <w:rsid w:val="12505D75"/>
    <w:rsid w:val="183121A5"/>
    <w:rsid w:val="189F7A56"/>
    <w:rsid w:val="19970819"/>
    <w:rsid w:val="1FFF67C3"/>
    <w:rsid w:val="23F796F0"/>
    <w:rsid w:val="24F58565"/>
    <w:rsid w:val="2AF92028"/>
    <w:rsid w:val="2B8A00F2"/>
    <w:rsid w:val="2CF9108B"/>
    <w:rsid w:val="2FAFD597"/>
    <w:rsid w:val="311F752F"/>
    <w:rsid w:val="33E2CED7"/>
    <w:rsid w:val="35DE42F2"/>
    <w:rsid w:val="37DEDCC8"/>
    <w:rsid w:val="3A3F792D"/>
    <w:rsid w:val="3BF13876"/>
    <w:rsid w:val="3CBE34D0"/>
    <w:rsid w:val="3D7F1BE6"/>
    <w:rsid w:val="3E377C66"/>
    <w:rsid w:val="3E55681D"/>
    <w:rsid w:val="3E9F6604"/>
    <w:rsid w:val="3EAB0813"/>
    <w:rsid w:val="3EBFEA29"/>
    <w:rsid w:val="3EFB6B8B"/>
    <w:rsid w:val="3F6031EC"/>
    <w:rsid w:val="3FFD0F6B"/>
    <w:rsid w:val="414A7CB0"/>
    <w:rsid w:val="42165DE4"/>
    <w:rsid w:val="4ABB577A"/>
    <w:rsid w:val="50615016"/>
    <w:rsid w:val="56B37C4E"/>
    <w:rsid w:val="5AF16B6B"/>
    <w:rsid w:val="5D7D746F"/>
    <w:rsid w:val="5E7D956F"/>
    <w:rsid w:val="5F2BFBCA"/>
    <w:rsid w:val="5F7BDD4E"/>
    <w:rsid w:val="5FA82319"/>
    <w:rsid w:val="5FCB16CF"/>
    <w:rsid w:val="5FE7C65D"/>
    <w:rsid w:val="63BFD95A"/>
    <w:rsid w:val="66833198"/>
    <w:rsid w:val="6683763C"/>
    <w:rsid w:val="66EF5BCD"/>
    <w:rsid w:val="691B1DAE"/>
    <w:rsid w:val="6DFFDAC3"/>
    <w:rsid w:val="6FEC408F"/>
    <w:rsid w:val="727E2817"/>
    <w:rsid w:val="73700F48"/>
    <w:rsid w:val="75D03F20"/>
    <w:rsid w:val="75FD7260"/>
    <w:rsid w:val="76726D86"/>
    <w:rsid w:val="76CF9C4C"/>
    <w:rsid w:val="76EF6105"/>
    <w:rsid w:val="77B6BCBA"/>
    <w:rsid w:val="7B3E5FA0"/>
    <w:rsid w:val="7BFD6879"/>
    <w:rsid w:val="7BFFB3C5"/>
    <w:rsid w:val="7D775321"/>
    <w:rsid w:val="7DDF61D6"/>
    <w:rsid w:val="7DFDEA91"/>
    <w:rsid w:val="7E3F8704"/>
    <w:rsid w:val="7E7BB910"/>
    <w:rsid w:val="7E7FFB8A"/>
    <w:rsid w:val="7F7DF91F"/>
    <w:rsid w:val="7FF6B05A"/>
    <w:rsid w:val="7FFB8780"/>
    <w:rsid w:val="9FDBFE91"/>
    <w:rsid w:val="ABCF4AA7"/>
    <w:rsid w:val="AF7FC5C9"/>
    <w:rsid w:val="B37F4690"/>
    <w:rsid w:val="B7B3D062"/>
    <w:rsid w:val="B8FE0C8E"/>
    <w:rsid w:val="BF5FB1C4"/>
    <w:rsid w:val="CACB6CD5"/>
    <w:rsid w:val="CBEF1763"/>
    <w:rsid w:val="CBF7B355"/>
    <w:rsid w:val="DABF47EF"/>
    <w:rsid w:val="DDDE87FA"/>
    <w:rsid w:val="DEE670AE"/>
    <w:rsid w:val="DF3FD174"/>
    <w:rsid w:val="DFFFDFE7"/>
    <w:rsid w:val="EDEF1BE2"/>
    <w:rsid w:val="EDEFB520"/>
    <w:rsid w:val="EF7F497A"/>
    <w:rsid w:val="F2CB7F9A"/>
    <w:rsid w:val="F33FA5F8"/>
    <w:rsid w:val="F3AEDED2"/>
    <w:rsid w:val="F57F57C5"/>
    <w:rsid w:val="F736400D"/>
    <w:rsid w:val="F7BEB0C5"/>
    <w:rsid w:val="F7E8D5E1"/>
    <w:rsid w:val="F9FD99F7"/>
    <w:rsid w:val="FAFB26CD"/>
    <w:rsid w:val="FAFE0103"/>
    <w:rsid w:val="FBDFCEEB"/>
    <w:rsid w:val="FCFB7B0C"/>
    <w:rsid w:val="FCFFD416"/>
    <w:rsid w:val="FDFB8E0F"/>
    <w:rsid w:val="FDFD9D09"/>
    <w:rsid w:val="FE76889E"/>
    <w:rsid w:val="FF22DA1F"/>
    <w:rsid w:val="FF5AB7D3"/>
    <w:rsid w:val="FFE5154E"/>
    <w:rsid w:val="FFF3B016"/>
    <w:rsid w:val="FFF7E822"/>
    <w:rsid w:val="FFFB27D5"/>
    <w:rsid w:val="FFFFE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numPr>
        <w:ilvl w:val="0"/>
        <w:numId w:val="1"/>
      </w:numPr>
      <w:spacing w:before="100" w:beforeAutospacing="1" w:after="100" w:afterAutospacing="1" w:line="360" w:lineRule="auto"/>
      <w:ind w:left="0" w:firstLine="0" w:firstLineChars="0"/>
      <w:outlineLvl w:val="0"/>
    </w:pPr>
    <w:rPr>
      <w:rFonts w:ascii="宋体" w:hAnsi="宋体" w:eastAsia="方正小标宋_GBK"/>
      <w:b/>
      <w:kern w:val="44"/>
      <w:szCs w:val="48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16"/>
    <w:qFormat/>
    <w:uiPriority w:val="0"/>
    <w:pPr>
      <w:jc w:val="left"/>
    </w:pPr>
  </w:style>
  <w:style w:type="paragraph" w:styleId="6">
    <w:name w:val="Balloon Text"/>
    <w:basedOn w:val="1"/>
    <w:link w:val="18"/>
    <w:semiHidden/>
    <w:unhideWhenUsed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ind w:firstLine="0" w:firstLineChars="0"/>
      <w:jc w:val="left"/>
    </w:pPr>
    <w:rPr>
      <w:rFonts w:ascii="宋体" w:hAnsi="宋体" w:eastAsia="宋体" w:cs="宋体"/>
      <w:kern w:val="0"/>
      <w:sz w:val="24"/>
    </w:rPr>
  </w:style>
  <w:style w:type="paragraph" w:styleId="10">
    <w:name w:val="annotation subject"/>
    <w:basedOn w:val="5"/>
    <w:next w:val="5"/>
    <w:link w:val="17"/>
    <w:semiHidden/>
    <w:unhideWhenUsed/>
    <w:qFormat/>
    <w:uiPriority w:val="0"/>
    <w:rPr>
      <w:b/>
      <w:bCs/>
    </w:rPr>
  </w:style>
  <w:style w:type="character" w:styleId="13">
    <w:name w:val="Emphasis"/>
    <w:basedOn w:val="12"/>
    <w:qFormat/>
    <w:uiPriority w:val="0"/>
    <w:rPr>
      <w:i/>
    </w:rPr>
  </w:style>
  <w:style w:type="character" w:styleId="14">
    <w:name w:val="annotation reference"/>
    <w:basedOn w:val="12"/>
    <w:qFormat/>
    <w:uiPriority w:val="0"/>
    <w:rPr>
      <w:sz w:val="21"/>
      <w:szCs w:val="21"/>
    </w:rPr>
  </w:style>
  <w:style w:type="paragraph" w:styleId="15">
    <w:name w:val="List Paragraph"/>
    <w:basedOn w:val="1"/>
    <w:qFormat/>
    <w:uiPriority w:val="34"/>
    <w:pPr>
      <w:ind w:firstLine="420"/>
    </w:pPr>
    <w:rPr>
      <w:rFonts w:ascii="宋体" w:hAnsi="宋体" w:eastAsia="宋体" w:cstheme="minorBidi"/>
      <w:sz w:val="21"/>
      <w:szCs w:val="21"/>
    </w:rPr>
  </w:style>
  <w:style w:type="character" w:customStyle="1" w:styleId="16">
    <w:name w:val="批注文字 字符"/>
    <w:basedOn w:val="12"/>
    <w:link w:val="5"/>
    <w:qFormat/>
    <w:uiPriority w:val="0"/>
    <w:rPr>
      <w:rFonts w:ascii="Calibri" w:hAnsi="Calibri" w:eastAsia="仿宋_GB2312"/>
      <w:kern w:val="2"/>
      <w:sz w:val="32"/>
      <w:szCs w:val="24"/>
    </w:rPr>
  </w:style>
  <w:style w:type="character" w:customStyle="1" w:styleId="17">
    <w:name w:val="批注主题 字符"/>
    <w:basedOn w:val="16"/>
    <w:link w:val="10"/>
    <w:semiHidden/>
    <w:qFormat/>
    <w:uiPriority w:val="0"/>
    <w:rPr>
      <w:rFonts w:ascii="Calibri" w:hAnsi="Calibri" w:eastAsia="仿宋_GB2312"/>
      <w:b/>
      <w:bCs/>
      <w:kern w:val="2"/>
      <w:sz w:val="32"/>
      <w:szCs w:val="24"/>
    </w:rPr>
  </w:style>
  <w:style w:type="character" w:customStyle="1" w:styleId="18">
    <w:name w:val="批注框文本 字符"/>
    <w:basedOn w:val="12"/>
    <w:link w:val="6"/>
    <w:semiHidden/>
    <w:qFormat/>
    <w:uiPriority w:val="0"/>
    <w:rPr>
      <w:rFonts w:ascii="Calibri" w:hAnsi="Calibri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1212</Words>
  <Characters>1235</Characters>
  <Lines>1</Lines>
  <Paragraphs>1</Paragraphs>
  <TotalTime>3</TotalTime>
  <ScaleCrop>false</ScaleCrop>
  <LinksUpToDate>false</LinksUpToDate>
  <CharactersWithSpaces>1235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2023-05-29T11:17:00Z</dcterms:created>
  <dc:creator>ZHAOXL</dc:creator>
  <cp:lastModifiedBy>赵星亮</cp:lastModifiedBy>
  <dcterms:modified xsi:type="dcterms:W3CDTF">2023-08-14T18:17:39Z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D9E3BD1B1DD146E9B2B61B21F5FC8383_13</vt:lpwstr>
  </property>
</Properties>
</file>