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232" w:rsidRDefault="004A36A6">
      <w:pPr>
        <w:spacing w:line="60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8A4232" w:rsidRDefault="008A4232">
      <w:pPr>
        <w:pStyle w:val="6"/>
      </w:pPr>
    </w:p>
    <w:p w:rsidR="008A4232" w:rsidRDefault="004A36A6">
      <w:pPr>
        <w:snapToGrid w:val="0"/>
        <w:spacing w:beforeLines="50" w:before="156" w:afterLines="50" w:after="156"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广州</w:t>
      </w:r>
      <w:r>
        <w:rPr>
          <w:rFonts w:ascii="Times New Roman" w:eastAsia="方正小标宋简体" w:hAnsi="Times New Roman" w:hint="eastAsia"/>
          <w:sz w:val="44"/>
          <w:szCs w:val="44"/>
        </w:rPr>
        <w:t>市</w:t>
      </w:r>
      <w:r>
        <w:rPr>
          <w:rFonts w:ascii="Times New Roman" w:eastAsia="方正小标宋简体" w:hAnsi="Times New Roman" w:hint="eastAsia"/>
          <w:sz w:val="44"/>
          <w:szCs w:val="44"/>
        </w:rPr>
        <w:t>推进“四化”平台赋能企业</w:t>
      </w:r>
      <w:r>
        <w:rPr>
          <w:rFonts w:ascii="Times New Roman" w:eastAsia="方正小标宋简体" w:hAnsi="Times New Roman"/>
          <w:sz w:val="44"/>
          <w:szCs w:val="44"/>
        </w:rPr>
        <w:t>提升</w:t>
      </w:r>
    </w:p>
    <w:p w:rsidR="008A4232" w:rsidRDefault="004A36A6">
      <w:pPr>
        <w:snapToGrid w:val="0"/>
        <w:spacing w:beforeLines="50" w:before="156" w:afterLines="50" w:after="156"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实施方案</w:t>
      </w:r>
      <w:r>
        <w:rPr>
          <w:rFonts w:ascii="方正小标宋_GBK" w:eastAsia="方正小标宋_GBK" w:hint="eastAsia"/>
          <w:sz w:val="44"/>
          <w:szCs w:val="44"/>
        </w:rPr>
        <w:t>(</w:t>
      </w:r>
      <w:r>
        <w:rPr>
          <w:rFonts w:ascii="方正小标宋_GBK" w:eastAsia="方正小标宋_GBK" w:hint="eastAsia"/>
          <w:sz w:val="44"/>
          <w:szCs w:val="44"/>
        </w:rPr>
        <w:t>征求意见稿）</w:t>
      </w:r>
    </w:p>
    <w:p w:rsidR="008A4232" w:rsidRDefault="008A4232">
      <w:pPr>
        <w:pStyle w:val="6"/>
      </w:pPr>
    </w:p>
    <w:p w:rsidR="008A4232" w:rsidRDefault="004A36A6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贯彻落实工业和信息化部、财政部两部门《关于开展财政支持中小企业数字化转型试点工作的通知》</w:t>
      </w:r>
      <w:r>
        <w:rPr>
          <w:rFonts w:ascii="Times New Roman" w:eastAsia="仿宋_GB2312" w:hAnsi="Times New Roman" w:hint="eastAsia"/>
          <w:sz w:val="32"/>
          <w:szCs w:val="32"/>
        </w:rPr>
        <w:t>（工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信厅联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及《关于印发广州市培育“四化”赋能平台推动制造业高质量发展行动方案的通知》（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穗工信函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210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号），聚焦数字化转型、网络化协同、智能化改造、绿色化提升（以下简称“四化”），支持我市“四化”平台做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强做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优做大，</w:t>
      </w:r>
      <w:r>
        <w:rPr>
          <w:rFonts w:ascii="仿宋_GB2312" w:eastAsia="仿宋_GB2312" w:hAnsi="仿宋_GB2312" w:cs="仿宋_GB2312" w:hint="eastAsia"/>
          <w:sz w:val="32"/>
          <w:szCs w:val="32"/>
        </w:rPr>
        <w:t>支撑、服务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我市</w:t>
      </w:r>
      <w:r>
        <w:rPr>
          <w:rFonts w:ascii="仿宋_GB2312" w:eastAsia="仿宋_GB2312" w:hAnsi="仿宋_GB2312" w:cs="仿宋_GB2312" w:hint="eastAsia"/>
          <w:sz w:val="32"/>
          <w:szCs w:val="32"/>
        </w:rPr>
        <w:t>制造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企业高质量发展，制定本实施方案。</w:t>
      </w:r>
    </w:p>
    <w:p w:rsidR="008A4232" w:rsidRDefault="004A36A6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/>
          <w:sz w:val="32"/>
          <w:szCs w:val="32"/>
          <w:lang w:eastAsia="zh-Hans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工作思路及目标</w:t>
      </w:r>
    </w:p>
    <w:p w:rsidR="008A4232" w:rsidRDefault="004A36A6">
      <w:pPr>
        <w:widowControl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（一）工作思路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围绕推进新型工业化发展主题，坚持有效市场、有为政府，实施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四化赋能、企业提升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专项行动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四化”平台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征集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遴选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推广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评价”工作体系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，按照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“平台受益、企业受用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和“政府补一点、企业出一点、平台让一点”的原则，支持“四化”平台为我市制造企业“四化”转型提供“评估、规划、实施、优化”全流程专业服务，构建行业“四化”发展生态，提升产业、企业发展竞争力，打造现代化产业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（二）工作目标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到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分类分级培育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个左右技术水平高、支撑能力强、服务范围广的“四化”平台，打造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家左右融合水平高、创新能力强、示范效应好的“四化”试点示范企业，带动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万家中小企业上云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用云提质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增效，</w:t>
      </w:r>
      <w:r>
        <w:rPr>
          <w:rFonts w:ascii="仿宋_GB2312" w:eastAsia="仿宋_GB2312" w:hAnsi="仿宋_GB2312" w:cs="仿宋_GB2312" w:hint="eastAsia"/>
          <w:sz w:val="32"/>
          <w:szCs w:val="32"/>
        </w:rPr>
        <w:t>实现“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平台优、企业好、产业强”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，全市制造业数字化、网络化、智能化、绿色化发展水平明显提升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4232" w:rsidRDefault="004A36A6">
      <w:pPr>
        <w:spacing w:line="60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实施路径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（一）开展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公开征集。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“四化”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方向</w:t>
      </w:r>
      <w:r>
        <w:rPr>
          <w:rFonts w:ascii="仿宋_GB2312" w:eastAsia="仿宋_GB2312" w:hAnsi="仿宋_GB2312" w:cs="仿宋_GB2312" w:hint="eastAsia"/>
          <w:sz w:val="32"/>
          <w:szCs w:val="32"/>
        </w:rPr>
        <w:t>和我市产业发展需求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共性基础平台、工业互联网平台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工业电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商平台、</w:t>
      </w:r>
      <w:r>
        <w:rPr>
          <w:rFonts w:ascii="仿宋_GB2312" w:eastAsia="仿宋_GB2312" w:hAnsi="仿宋_GB2312" w:cs="仿宋_GB2312" w:hint="eastAsia"/>
          <w:sz w:val="32"/>
          <w:szCs w:val="32"/>
        </w:rPr>
        <w:t>智能制造平台、绿色制造平台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及其他重点领域，定期</w:t>
      </w:r>
      <w:r>
        <w:rPr>
          <w:rFonts w:ascii="仿宋_GB2312" w:eastAsia="仿宋_GB2312" w:hAnsi="仿宋_GB2312" w:cs="仿宋_GB2312" w:hint="eastAsia"/>
          <w:sz w:val="32"/>
          <w:szCs w:val="32"/>
        </w:rPr>
        <w:t>面向社会发布征集通知，公开征集</w:t>
      </w:r>
      <w:r>
        <w:rPr>
          <w:rFonts w:ascii="仿宋_GB2312" w:eastAsia="仿宋_GB2312" w:hAnsi="仿宋_GB2312" w:cs="仿宋_GB2312" w:hint="eastAsia"/>
          <w:sz w:val="32"/>
          <w:szCs w:val="32"/>
        </w:rPr>
        <w:t>一批“四化”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平台。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（二）组织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择优遴选。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按照“</w:t>
      </w:r>
      <w:r>
        <w:rPr>
          <w:rFonts w:ascii="仿宋_GB2312" w:eastAsia="仿宋_GB2312" w:hAnsi="仿宋_GB2312" w:cs="仿宋_GB2312" w:hint="eastAsia"/>
          <w:sz w:val="32"/>
          <w:szCs w:val="32"/>
        </w:rPr>
        <w:t>公平、</w:t>
      </w:r>
      <w:r>
        <w:rPr>
          <w:rFonts w:ascii="仿宋_GB2312" w:eastAsia="仿宋_GB2312" w:hAnsi="仿宋_GB2312" w:cs="仿宋_GB2312" w:hint="eastAsia"/>
          <w:sz w:val="32"/>
          <w:szCs w:val="32"/>
        </w:rPr>
        <w:t>公正、</w:t>
      </w:r>
      <w:r>
        <w:rPr>
          <w:rFonts w:ascii="仿宋_GB2312" w:eastAsia="仿宋_GB2312" w:hAnsi="仿宋_GB2312" w:cs="仿宋_GB2312"/>
          <w:sz w:val="32"/>
          <w:szCs w:val="32"/>
        </w:rPr>
        <w:t>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”和“选优育强”的</w:t>
      </w:r>
      <w:r>
        <w:rPr>
          <w:rFonts w:ascii="仿宋_GB2312" w:eastAsia="仿宋_GB2312" w:hAnsi="仿宋_GB2312" w:cs="仿宋_GB2312" w:hint="eastAsia"/>
          <w:sz w:val="32"/>
          <w:szCs w:val="32"/>
        </w:rPr>
        <w:t>原则，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组织专家评审，遴选一批</w:t>
      </w:r>
      <w:r>
        <w:rPr>
          <w:rFonts w:ascii="仿宋_GB2312" w:eastAsia="仿宋_GB2312" w:hAnsi="仿宋_GB2312" w:cs="仿宋_GB2312"/>
          <w:sz w:val="32"/>
          <w:szCs w:val="32"/>
        </w:rPr>
        <w:t>具有较强</w:t>
      </w:r>
      <w:r>
        <w:rPr>
          <w:rFonts w:ascii="仿宋_GB2312" w:eastAsia="仿宋_GB2312" w:hAnsi="仿宋_GB2312" w:cs="仿宋_GB2312" w:hint="eastAsia"/>
          <w:sz w:val="32"/>
          <w:szCs w:val="32"/>
        </w:rPr>
        <w:t>技术能力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规模实力、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服务能力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四化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成功</w:t>
      </w:r>
      <w:r>
        <w:rPr>
          <w:rFonts w:ascii="仿宋_GB2312" w:eastAsia="仿宋_GB2312" w:hAnsi="仿宋_GB2312" w:cs="仿宋_GB2312" w:hint="eastAsia"/>
          <w:sz w:val="32"/>
          <w:szCs w:val="32"/>
        </w:rPr>
        <w:t>入选的平台，授予“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四化赋能重点平台”</w:t>
      </w:r>
      <w:r>
        <w:rPr>
          <w:rFonts w:ascii="仿宋_GB2312" w:eastAsia="仿宋_GB2312" w:hAnsi="仿宋_GB2312" w:cs="仿宋_GB2312" w:hint="eastAsia"/>
          <w:sz w:val="32"/>
          <w:szCs w:val="32"/>
        </w:rPr>
        <w:t>称号，并颁发标牌。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（三）编制解决方案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“四化”平台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结合我市各工业行业“四化”转型需求及痛点问题，编制行业“四化”转型共性解决方案和年度转型工作计划，并向</w:t>
      </w:r>
      <w:r>
        <w:rPr>
          <w:rFonts w:ascii="仿宋_GB2312" w:eastAsia="仿宋_GB2312" w:hAnsi="仿宋_GB2312" w:cs="仿宋_GB2312" w:hint="eastAsia"/>
          <w:sz w:val="32"/>
          <w:szCs w:val="32"/>
        </w:rPr>
        <w:t>市工信部门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报备。鼓励“四化”平台之间按照优势互补原则自主组合、联合共建，构建以行业工业互联网平台为中心，平台间相互协作、生产服务要素资源（品牌、设计、营销、物流、金融等）汇聚的行业“四化”转型生态，促进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产业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链供应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链上下游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业务协同、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数据共享和制造资源优化配置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（四）开展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评估诊断。</w:t>
      </w:r>
      <w:r>
        <w:rPr>
          <w:rFonts w:ascii="仿宋_GB2312" w:eastAsia="仿宋_GB2312" w:hAnsi="仿宋_GB2312" w:cs="仿宋_GB2312" w:hint="eastAsia"/>
          <w:sz w:val="32"/>
          <w:szCs w:val="32"/>
        </w:rPr>
        <w:t>市工信部门会同各区工信部门，组织供需对接活动，促进平台和企业间对接合作。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支持平台为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评估诊断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，帮助企业找准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“四化”</w:t>
      </w:r>
      <w:r>
        <w:rPr>
          <w:rFonts w:ascii="仿宋_GB2312" w:eastAsia="仿宋_GB2312" w:hAnsi="仿宋_GB2312" w:cs="仿宋_GB2312" w:hint="eastAsia"/>
          <w:sz w:val="32"/>
          <w:szCs w:val="32"/>
        </w:rPr>
        <w:t>转型发展薄弱环节，明确战略定位和转型优先级，提供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科学精准的“四化”</w:t>
      </w:r>
      <w:r>
        <w:rPr>
          <w:rFonts w:ascii="仿宋_GB2312" w:eastAsia="仿宋_GB2312" w:hAnsi="仿宋_GB2312" w:cs="仿宋_GB2312" w:hint="eastAsia"/>
          <w:sz w:val="32"/>
          <w:szCs w:val="32"/>
        </w:rPr>
        <w:t>评估诊断报告和切实可行的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“四化”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（五）推进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Hans"/>
        </w:rPr>
        <w:t>改造实施。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“四化”平台根据企业“四化”评估诊断情况，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为企业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提供小型化、快速化、轻量化、精准化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“小快轻准”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的工业软件产品、工业</w:t>
      </w:r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 w:hint="eastAsia"/>
          <w:sz w:val="32"/>
          <w:szCs w:val="32"/>
        </w:rPr>
        <w:t>和行业解决方案，助力企业实现设备上云、管理上云、业务上云，推进车间、工厂等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“四化”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引导企业积极融入大中小融通的行业数字化生态圈，加强协作配套，协同发展。</w:t>
      </w:r>
    </w:p>
    <w:p w:rsidR="008A4232" w:rsidRDefault="004A36A6">
      <w:pPr>
        <w:widowControl/>
        <w:spacing w:line="600" w:lineRule="exact"/>
        <w:ind w:firstLineChars="200" w:firstLine="643"/>
        <w:rPr>
          <w:rFonts w:ascii="仿宋_GB2312" w:eastAsia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（六）建立评价机制</w:t>
      </w:r>
      <w:r>
        <w:rPr>
          <w:rFonts w:ascii="仿宋_GB2312" w:eastAsia="仿宋_GB2312" w:hAnsi="仿宋_GB2312" w:cs="仿宋_GB2312"/>
          <w:b/>
          <w:bCs/>
          <w:sz w:val="32"/>
          <w:szCs w:val="32"/>
          <w:lang w:eastAsia="zh-Hans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各平台服务企业“四化”转型的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实施情况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服务成效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客户满意度等</w:t>
      </w:r>
      <w:r>
        <w:rPr>
          <w:rFonts w:ascii="仿宋_GB2312" w:eastAsia="仿宋_GB2312" w:hAnsi="仿宋_GB2312" w:cs="仿宋_GB2312" w:hint="eastAsia"/>
          <w:sz w:val="32"/>
          <w:szCs w:val="32"/>
        </w:rPr>
        <w:t>，定期对“四化”平台服务情况进行评价。对服务情况评价好的平台，加大支持力度，鼓励平台进一步增强服务能力，扩大服务范围。对服务情况评价不好的平台，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取消其“广州市</w:t>
      </w:r>
      <w:r>
        <w:rPr>
          <w:rFonts w:ascii="仿宋_GB2312" w:eastAsia="仿宋_GB2312" w:hAnsi="仿宋_GB2312" w:cs="仿宋_GB2312" w:hint="eastAsia"/>
          <w:sz w:val="32"/>
          <w:szCs w:val="32"/>
        </w:rPr>
        <w:t>四化赋能重点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平台”称号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4232" w:rsidRDefault="004A36A6">
      <w:pPr>
        <w:spacing w:line="60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三、支持</w:t>
      </w:r>
      <w:r>
        <w:rPr>
          <w:rFonts w:ascii="黑体" w:eastAsia="黑体" w:hAnsi="黑体" w:cs="黑体" w:hint="eastAsia"/>
          <w:sz w:val="32"/>
          <w:szCs w:val="32"/>
        </w:rPr>
        <w:t>措施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（一）建设广州市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制造业数字化转型促进中心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依托促进中心打造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“穗智转”公共服务平台，</w:t>
      </w:r>
      <w:r>
        <w:rPr>
          <w:rFonts w:ascii="仿宋_GB2312" w:eastAsia="仿宋_GB2312" w:hAnsi="仿宋_GB2312" w:cs="仿宋_GB2312" w:hint="eastAsia"/>
          <w:sz w:val="32"/>
          <w:szCs w:val="32"/>
        </w:rPr>
        <w:t>作为我市推进“四化”转型的公共门户，整合、</w:t>
      </w:r>
      <w:r>
        <w:rPr>
          <w:rFonts w:ascii="仿宋_GB2312" w:eastAsia="仿宋_GB2312" w:hAnsi="仿宋_GB2312" w:cs="仿宋_GB2312" w:hint="eastAsia"/>
          <w:sz w:val="32"/>
          <w:szCs w:val="32"/>
        </w:rPr>
        <w:t>汇聚全市“四化”生态资源</w:t>
      </w:r>
      <w:r>
        <w:rPr>
          <w:rFonts w:ascii="Times New Roman" w:eastAsia="仿宋_GB2312" w:hAnsi="Times New Roman" w:hint="eastAsia"/>
          <w:sz w:val="32"/>
          <w:szCs w:val="32"/>
        </w:rPr>
        <w:t>，面向企业提供转型咨询、解决方案、供需对接、场景案例、线上课程等服务。面向平台提供生态对接合作、解决方案验证和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推广、质量安全保障测试等服务</w:t>
      </w:r>
      <w:r>
        <w:rPr>
          <w:rFonts w:ascii="仿宋_GB2312" w:eastAsia="仿宋_GB2312" w:hAnsi="仿宋_GB2312" w:cs="仿宋_GB2312" w:hint="eastAsia"/>
          <w:sz w:val="32"/>
          <w:szCs w:val="32"/>
        </w:rPr>
        <w:t>。支撑政府统筹推进全市制造业数字化转型，协助开展“四化”平台服务评价等工作。</w:t>
      </w:r>
    </w:p>
    <w:p w:rsidR="008A4232" w:rsidRDefault="004A36A6">
      <w:pPr>
        <w:spacing w:line="600" w:lineRule="exact"/>
        <w:ind w:firstLineChars="200" w:firstLine="643"/>
        <w:rPr>
          <w:rFonts w:ascii="Times New Roman" w:eastAsia="楷体" w:hAnsi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支持平台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能力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支持“四化”平台技术革新，能力提升，完善行业“四化”共性解决方案。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平台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信息化</w:t>
      </w:r>
      <w:r>
        <w:rPr>
          <w:rFonts w:ascii="仿宋_GB2312" w:eastAsia="仿宋_GB2312" w:hAnsi="仿宋_GB2312" w:cs="仿宋_GB2312" w:hint="eastAsia"/>
          <w:sz w:val="32"/>
          <w:szCs w:val="32"/>
        </w:rPr>
        <w:t>软硬件设备购置、行业</w:t>
      </w:r>
      <w:r>
        <w:rPr>
          <w:rFonts w:ascii="仿宋_GB2312" w:eastAsia="仿宋_GB2312" w:hAnsi="仿宋_GB2312" w:cs="仿宋_GB2312" w:hint="eastAsia"/>
          <w:sz w:val="32"/>
          <w:szCs w:val="32"/>
        </w:rPr>
        <w:t>“四化”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方案研发集成、</w:t>
      </w:r>
      <w:r>
        <w:rPr>
          <w:rFonts w:ascii="仿宋_GB2312" w:eastAsia="仿宋_GB2312" w:hAnsi="仿宋_GB2312" w:cs="仿宋_GB2312" w:hint="eastAsia"/>
          <w:sz w:val="32"/>
          <w:szCs w:val="32"/>
        </w:rPr>
        <w:t>测试验证、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网络通信及云租赁等方面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投入，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符合条件的，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按照不超过项目投入费用的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进行补助，最高不超过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优先支持“四化”平台间优势互补、联合共建，打造行业上下游协同“四化”生态的项目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支持</w:t>
      </w:r>
      <w:r>
        <w:rPr>
          <w:rFonts w:ascii="仿宋_GB2312" w:eastAsia="仿宋_GB2312" w:hAnsi="仿宋_GB2312" w:cs="仿宋_GB2312"/>
          <w:b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四化</w:t>
      </w:r>
      <w:r>
        <w:rPr>
          <w:rFonts w:ascii="仿宋_GB2312" w:eastAsia="仿宋_GB2312" w:hAnsi="仿宋_GB2312" w:cs="仿宋_GB2312"/>
          <w:b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评估诊断。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支持“四化”平台为企业提供“四化”评估诊断服务，对符合条件的评估诊断费用予以减免，每家企业补助减免费用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最高</w:t>
      </w:r>
      <w:r>
        <w:rPr>
          <w:rFonts w:ascii="仿宋_GB2312" w:eastAsia="仿宋_GB2312" w:hAnsi="仿宋_GB2312" w:cs="仿宋_GB2312" w:hint="eastAsia"/>
          <w:sz w:val="32"/>
          <w:szCs w:val="32"/>
        </w:rPr>
        <w:t>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支持“四化”改造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实施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支持“四化”平台为企业提供“四化”改造服务，对平台为企业实施“四化”改造的项目，符合条件的，按照不超过每家企业实际改造成本</w:t>
      </w:r>
      <w:r>
        <w:rPr>
          <w:rFonts w:ascii="仿宋_GB2312" w:eastAsia="仿宋_GB2312" w:hAnsi="仿宋_GB2312" w:cs="仿宋_GB2312" w:hint="eastAsia"/>
          <w:sz w:val="32"/>
          <w:szCs w:val="32"/>
        </w:rPr>
        <w:t>50%</w:t>
      </w:r>
      <w:r>
        <w:rPr>
          <w:rFonts w:ascii="仿宋_GB2312" w:eastAsia="仿宋_GB2312" w:hAnsi="仿宋_GB2312" w:cs="仿宋_GB2312" w:hint="eastAsia"/>
          <w:sz w:val="32"/>
          <w:szCs w:val="32"/>
        </w:rPr>
        <w:t>的比例予以奖补（平台应与企业签订改造合同，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将奖补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资金直接用于企业“四化”改造）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鼓励“四化”平台加大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减费让利力度（平台可采用技术入股、服务入股方式参与），进一步降低企业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改造实施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成本。</w:t>
      </w:r>
    </w:p>
    <w:p w:rsidR="008A4232" w:rsidRDefault="004A36A6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支持争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优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对被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 w:bidi="ar"/>
        </w:rPr>
        <w:t>国家工业和信息化部门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评选为国家级跨行业跨领域综合型工业互联网平台、国家级特色型或专业型工业互联网平台的企业，分别给予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万元、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万元的一次性奖励；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对获评国家级智能制造示范工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lastRenderedPageBreak/>
        <w:t>厂的企业，给予一次性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万元奖励；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对通</w:t>
      </w:r>
      <w:r>
        <w:rPr>
          <w:rFonts w:ascii="仿宋_GB2312" w:eastAsia="仿宋_GB2312" w:hAnsi="仿宋_GB2312" w:cs="仿宋_GB2312" w:hint="eastAsia"/>
          <w:sz w:val="32"/>
          <w:szCs w:val="32"/>
        </w:rPr>
        <w:t>过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两化融合管理体系（升级版）贯标评定</w:t>
      </w:r>
      <w:r>
        <w:rPr>
          <w:rFonts w:ascii="仿宋_GB2312" w:eastAsia="仿宋_GB2312" w:hAnsi="仿宋_GB2312" w:cs="仿宋_GB2312" w:hint="eastAsia"/>
          <w:sz w:val="32"/>
          <w:szCs w:val="32"/>
        </w:rPr>
        <w:t>并获得</w:t>
      </w:r>
      <w:r>
        <w:rPr>
          <w:rFonts w:ascii="仿宋_GB2312" w:eastAsia="仿宋_GB2312" w:hAnsi="仿宋_GB2312" w:cs="仿宋_GB2312" w:hint="eastAsia"/>
          <w:sz w:val="32"/>
          <w:szCs w:val="32"/>
        </w:rPr>
        <w:t>2A</w:t>
      </w:r>
      <w:r>
        <w:rPr>
          <w:rFonts w:ascii="仿宋_GB2312" w:eastAsia="仿宋_GB2312" w:hAnsi="仿宋_GB2312" w:cs="仿宋_GB2312" w:hint="eastAsia"/>
          <w:sz w:val="32"/>
          <w:szCs w:val="32"/>
        </w:rPr>
        <w:t>及以上级别证书的企业，给予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奖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励；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对获得数据管理能力成熟度评估（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DCMM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）认证三级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等级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的企业，给予最高不超过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万元的奖励。</w:t>
      </w:r>
    </w:p>
    <w:p w:rsidR="008A4232" w:rsidRDefault="004A36A6">
      <w:pPr>
        <w:spacing w:line="600" w:lineRule="exact"/>
        <w:ind w:firstLineChars="200" w:firstLine="640"/>
        <w:outlineLvl w:val="0"/>
        <w:rPr>
          <w:rFonts w:ascii="仿宋_GB2312" w:eastAsia="黑体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工作要求</w:t>
      </w:r>
    </w:p>
    <w:p w:rsidR="008A4232" w:rsidRDefault="004A36A6">
      <w:pPr>
        <w:widowControl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（一）完善工作机制。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强化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统筹协调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，完善管理制度。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Hans"/>
        </w:rPr>
        <w:t>依托市制造业数字化转型工作专班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推动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建立责权明确、分工协作、齐抓共管的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各部门联合推进机制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构建全市一盘棋的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“四化”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推进体系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;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市工信部门根据产业发展实际，每年研究编制相关资金申报指南，明确当年支持方向、申报条件等内容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,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组织“四化”资金项目申报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8A4232" w:rsidRDefault="004A36A6">
      <w:pPr>
        <w:widowControl/>
        <w:spacing w:line="60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加强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宣传引导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。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Hans"/>
        </w:rPr>
        <w:t>充分利用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各类媒介广泛宣传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“四化”平台赋能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政策，帮助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Hans"/>
        </w:rPr>
        <w:t>中小企业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知政策、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明路径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会实施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，形成</w:t>
      </w:r>
      <w:r>
        <w:rPr>
          <w:rFonts w:ascii="仿宋_GB2312" w:eastAsia="仿宋_GB2312" w:hAnsi="宋体" w:hint="eastAsia"/>
          <w:color w:val="000000"/>
          <w:sz w:val="32"/>
          <w:szCs w:val="32"/>
          <w:lang w:eastAsia="zh-Hans"/>
        </w:rPr>
        <w:t>制造业“四化”转型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的良好环境。</w:t>
      </w:r>
    </w:p>
    <w:p w:rsidR="008A4232" w:rsidRDefault="008A4232">
      <w:pPr>
        <w:widowControl/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</w:p>
    <w:sectPr w:rsidR="008A4232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A6" w:rsidRDefault="004A36A6">
      <w:r>
        <w:separator/>
      </w:r>
    </w:p>
  </w:endnote>
  <w:endnote w:type="continuationSeparator" w:id="0">
    <w:p w:rsidR="004A36A6" w:rsidRDefault="004A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32" w:rsidRDefault="004A36A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A4232" w:rsidRDefault="004A36A6">
                          <w:pPr>
                            <w:pStyle w:val="a7"/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562688">
                            <w:rPr>
                              <w:rFonts w:ascii="Times New Roman" w:hAnsi="Times New Roman"/>
                              <w:noProof/>
                            </w:rPr>
                            <w:t>- 5 -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" filled="f" stroked="f">
              <v:textbox style="mso-fit-shape-to-text:t" inset="0,0,0,0">
                <w:txbxContent>
                  <w:p w:rsidR="008A4232" w:rsidRDefault="004A36A6">
                    <w:pPr>
                      <w:pStyle w:val="a7"/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562688">
                      <w:rPr>
                        <w:rFonts w:ascii="Times New Roman" w:hAnsi="Times New Roman"/>
                        <w:noProof/>
                      </w:rPr>
                      <w:t>- 5 -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A6" w:rsidRDefault="004A36A6">
      <w:r>
        <w:separator/>
      </w:r>
    </w:p>
  </w:footnote>
  <w:footnote w:type="continuationSeparator" w:id="0">
    <w:p w:rsidR="004A36A6" w:rsidRDefault="004A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iOGFiN2FlNDY0MmFlZGY5ZTkzNWJjNmJkMzU5ZmIifQ=="/>
  </w:docVars>
  <w:rsids>
    <w:rsidRoot w:val="00093533"/>
    <w:rsid w:val="8C6F8A46"/>
    <w:rsid w:val="95DEFFE9"/>
    <w:rsid w:val="9BA4E6BB"/>
    <w:rsid w:val="9DBE74DF"/>
    <w:rsid w:val="9FC36EC9"/>
    <w:rsid w:val="A7ED697E"/>
    <w:rsid w:val="AFFF45DD"/>
    <w:rsid w:val="B2EF7537"/>
    <w:rsid w:val="B7FDAA1E"/>
    <w:rsid w:val="B93DB3BE"/>
    <w:rsid w:val="BAFB1FA0"/>
    <w:rsid w:val="BBF74D50"/>
    <w:rsid w:val="BDF625BB"/>
    <w:rsid w:val="BDFFED00"/>
    <w:rsid w:val="BF7A06AC"/>
    <w:rsid w:val="BFB5D599"/>
    <w:rsid w:val="BFC9BA09"/>
    <w:rsid w:val="BFEA44C4"/>
    <w:rsid w:val="BFF76991"/>
    <w:rsid w:val="C7EF9445"/>
    <w:rsid w:val="CAF4BCC2"/>
    <w:rsid w:val="CEFAD712"/>
    <w:rsid w:val="CFFF6B32"/>
    <w:rsid w:val="D3FF96D0"/>
    <w:rsid w:val="D79DE01F"/>
    <w:rsid w:val="D7FBE415"/>
    <w:rsid w:val="DDFE9AAC"/>
    <w:rsid w:val="DEEF0151"/>
    <w:rsid w:val="DEF39C60"/>
    <w:rsid w:val="DF6FDDFA"/>
    <w:rsid w:val="EB5EA45A"/>
    <w:rsid w:val="EBEB6AD7"/>
    <w:rsid w:val="EBF27938"/>
    <w:rsid w:val="ED67FC55"/>
    <w:rsid w:val="EF9FB443"/>
    <w:rsid w:val="EFAA5B44"/>
    <w:rsid w:val="EFBCF3C4"/>
    <w:rsid w:val="EFEF5748"/>
    <w:rsid w:val="F3BEBEB6"/>
    <w:rsid w:val="F7B342C7"/>
    <w:rsid w:val="F9E6A9E3"/>
    <w:rsid w:val="FAC328E6"/>
    <w:rsid w:val="FB72CD72"/>
    <w:rsid w:val="FDDB8B53"/>
    <w:rsid w:val="FDF6DAE9"/>
    <w:rsid w:val="FEE3D927"/>
    <w:rsid w:val="FEEBC7EE"/>
    <w:rsid w:val="FFB36045"/>
    <w:rsid w:val="FFB78751"/>
    <w:rsid w:val="FFBEBF15"/>
    <w:rsid w:val="FFBF42D9"/>
    <w:rsid w:val="FFDFEADD"/>
    <w:rsid w:val="FFEBE8D7"/>
    <w:rsid w:val="FFFFF784"/>
    <w:rsid w:val="00011974"/>
    <w:rsid w:val="00033F9B"/>
    <w:rsid w:val="00093533"/>
    <w:rsid w:val="000C6373"/>
    <w:rsid w:val="000D58C5"/>
    <w:rsid w:val="001003EE"/>
    <w:rsid w:val="00182A77"/>
    <w:rsid w:val="001D13EF"/>
    <w:rsid w:val="00255C4D"/>
    <w:rsid w:val="00257880"/>
    <w:rsid w:val="002A3135"/>
    <w:rsid w:val="00367178"/>
    <w:rsid w:val="003B4958"/>
    <w:rsid w:val="003C45C8"/>
    <w:rsid w:val="00427693"/>
    <w:rsid w:val="0043665D"/>
    <w:rsid w:val="0045567D"/>
    <w:rsid w:val="00473DD8"/>
    <w:rsid w:val="004A36A6"/>
    <w:rsid w:val="00510A88"/>
    <w:rsid w:val="00513886"/>
    <w:rsid w:val="0052205B"/>
    <w:rsid w:val="005278DC"/>
    <w:rsid w:val="00545C0A"/>
    <w:rsid w:val="00562688"/>
    <w:rsid w:val="00565033"/>
    <w:rsid w:val="00580A8A"/>
    <w:rsid w:val="00581ACB"/>
    <w:rsid w:val="00582CB6"/>
    <w:rsid w:val="00602510"/>
    <w:rsid w:val="006317AA"/>
    <w:rsid w:val="00634C8A"/>
    <w:rsid w:val="006738DB"/>
    <w:rsid w:val="0069343F"/>
    <w:rsid w:val="006A3B6F"/>
    <w:rsid w:val="00726240"/>
    <w:rsid w:val="00742DCA"/>
    <w:rsid w:val="00747BB0"/>
    <w:rsid w:val="007565D9"/>
    <w:rsid w:val="007A3F70"/>
    <w:rsid w:val="007F2FC6"/>
    <w:rsid w:val="00800E4A"/>
    <w:rsid w:val="00821C97"/>
    <w:rsid w:val="0087056E"/>
    <w:rsid w:val="008A4232"/>
    <w:rsid w:val="008D4C83"/>
    <w:rsid w:val="008E3B0F"/>
    <w:rsid w:val="008F5AD6"/>
    <w:rsid w:val="00920C53"/>
    <w:rsid w:val="0093490B"/>
    <w:rsid w:val="0097648C"/>
    <w:rsid w:val="00A01CF9"/>
    <w:rsid w:val="00A2787F"/>
    <w:rsid w:val="00A429E0"/>
    <w:rsid w:val="00A64C9B"/>
    <w:rsid w:val="00A76686"/>
    <w:rsid w:val="00A9226C"/>
    <w:rsid w:val="00AA234E"/>
    <w:rsid w:val="00B07D8F"/>
    <w:rsid w:val="00B143AB"/>
    <w:rsid w:val="00B52A8D"/>
    <w:rsid w:val="00B624CD"/>
    <w:rsid w:val="00B90E57"/>
    <w:rsid w:val="00BB292D"/>
    <w:rsid w:val="00BC247B"/>
    <w:rsid w:val="00C01BF6"/>
    <w:rsid w:val="00C03A84"/>
    <w:rsid w:val="00C36D0E"/>
    <w:rsid w:val="00C53747"/>
    <w:rsid w:val="00C72827"/>
    <w:rsid w:val="00C734AA"/>
    <w:rsid w:val="00CD495D"/>
    <w:rsid w:val="00CD4BF7"/>
    <w:rsid w:val="00CE2E13"/>
    <w:rsid w:val="00DA48CE"/>
    <w:rsid w:val="00DC4490"/>
    <w:rsid w:val="00DD1056"/>
    <w:rsid w:val="00DD62EE"/>
    <w:rsid w:val="00DF4355"/>
    <w:rsid w:val="00E060C0"/>
    <w:rsid w:val="00E23BE8"/>
    <w:rsid w:val="00E61F97"/>
    <w:rsid w:val="00E676CF"/>
    <w:rsid w:val="00E86D23"/>
    <w:rsid w:val="00EA3C5E"/>
    <w:rsid w:val="00ED57AD"/>
    <w:rsid w:val="00F27ADC"/>
    <w:rsid w:val="00F714DF"/>
    <w:rsid w:val="00FE3600"/>
    <w:rsid w:val="02204010"/>
    <w:rsid w:val="04820BDA"/>
    <w:rsid w:val="05FF1B27"/>
    <w:rsid w:val="07B715E3"/>
    <w:rsid w:val="0D7FBBFE"/>
    <w:rsid w:val="15805D84"/>
    <w:rsid w:val="163951A8"/>
    <w:rsid w:val="16AD20A5"/>
    <w:rsid w:val="17BF1D85"/>
    <w:rsid w:val="1F8A500A"/>
    <w:rsid w:val="1FA77311"/>
    <w:rsid w:val="1FBED367"/>
    <w:rsid w:val="237D0EB7"/>
    <w:rsid w:val="261A2D3E"/>
    <w:rsid w:val="277D73B7"/>
    <w:rsid w:val="27F5C2FA"/>
    <w:rsid w:val="2F296A92"/>
    <w:rsid w:val="32FF51D0"/>
    <w:rsid w:val="36742908"/>
    <w:rsid w:val="36B99083"/>
    <w:rsid w:val="377AF04A"/>
    <w:rsid w:val="37AA2871"/>
    <w:rsid w:val="37FF84E6"/>
    <w:rsid w:val="39A82FA3"/>
    <w:rsid w:val="3AFE46D5"/>
    <w:rsid w:val="3B6C057D"/>
    <w:rsid w:val="3BBC717C"/>
    <w:rsid w:val="3DCE0055"/>
    <w:rsid w:val="3EEBF784"/>
    <w:rsid w:val="3F9E6C60"/>
    <w:rsid w:val="3FD513C9"/>
    <w:rsid w:val="45F7450F"/>
    <w:rsid w:val="4BD5EE79"/>
    <w:rsid w:val="50C255C0"/>
    <w:rsid w:val="550F8718"/>
    <w:rsid w:val="561C5C67"/>
    <w:rsid w:val="56FFACFA"/>
    <w:rsid w:val="581D5CC6"/>
    <w:rsid w:val="5DFF7D6B"/>
    <w:rsid w:val="5E5B45B9"/>
    <w:rsid w:val="5F3798BB"/>
    <w:rsid w:val="5FE22FB2"/>
    <w:rsid w:val="5FE610C3"/>
    <w:rsid w:val="653FAC54"/>
    <w:rsid w:val="65DF5E87"/>
    <w:rsid w:val="68B86D73"/>
    <w:rsid w:val="6BDA8D08"/>
    <w:rsid w:val="6C3BF6D1"/>
    <w:rsid w:val="6CB13B38"/>
    <w:rsid w:val="6CFF6512"/>
    <w:rsid w:val="6D395ACC"/>
    <w:rsid w:val="6DCF9E8F"/>
    <w:rsid w:val="6E6BCCA3"/>
    <w:rsid w:val="6F69AC8B"/>
    <w:rsid w:val="6FB6073E"/>
    <w:rsid w:val="6FCE217E"/>
    <w:rsid w:val="6FDDEE09"/>
    <w:rsid w:val="711FB734"/>
    <w:rsid w:val="777DCA48"/>
    <w:rsid w:val="79830E6A"/>
    <w:rsid w:val="7ACA5588"/>
    <w:rsid w:val="7AEDC3EC"/>
    <w:rsid w:val="7B7F41D9"/>
    <w:rsid w:val="7BF4DEA9"/>
    <w:rsid w:val="7BFF08ED"/>
    <w:rsid w:val="7BFF80DD"/>
    <w:rsid w:val="7CFD70E2"/>
    <w:rsid w:val="7D11BC13"/>
    <w:rsid w:val="7EA70AE4"/>
    <w:rsid w:val="7EAFAF47"/>
    <w:rsid w:val="7EE78AF2"/>
    <w:rsid w:val="7EEF4A89"/>
    <w:rsid w:val="7F1A5FD0"/>
    <w:rsid w:val="7F1FB7E8"/>
    <w:rsid w:val="7F250EAE"/>
    <w:rsid w:val="7F837ECB"/>
    <w:rsid w:val="7FBF4CFE"/>
    <w:rsid w:val="7FBF64C2"/>
    <w:rsid w:val="7FC7320E"/>
    <w:rsid w:val="7FF32123"/>
    <w:rsid w:val="7FFB9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A55AD5-F296-49BA-821B-D911CE42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等线" w:eastAsia="等线" w:hAnsi="等线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368</Words>
  <Characters>2101</Characters>
  <Application>Microsoft Office Word</Application>
  <DocSecurity>0</DocSecurity>
  <Lines>17</Lines>
  <Paragraphs>4</Paragraphs>
  <ScaleCrop>false</ScaleCrop>
  <Company>江南大学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张秋琴</dc:creator>
  <cp:lastModifiedBy>无衬Ƿ</cp:lastModifiedBy>
  <cp:revision>4</cp:revision>
  <cp:lastPrinted>2022-12-14T01:58:00Z</cp:lastPrinted>
  <dcterms:created xsi:type="dcterms:W3CDTF">2022-12-02T09:09:00Z</dcterms:created>
  <dcterms:modified xsi:type="dcterms:W3CDTF">2023-01-04T08:46:00Z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E9BA1D5C557A4C4983F498FAA3A2082E</vt:lpwstr>
  </property>
</Properties>
</file>