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8CD2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2</w:t>
      </w:r>
    </w:p>
    <w:p w14:paraId="746C4E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14:paraId="547FE518">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广州市经营性电动汽车充换电设施项目</w:t>
      </w:r>
    </w:p>
    <w:p w14:paraId="6FFCF57D">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登记申请材料</w:t>
      </w:r>
    </w:p>
    <w:tbl>
      <w:tblPr>
        <w:tblStyle w:val="4"/>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9"/>
        <w:gridCol w:w="4693"/>
        <w:gridCol w:w="531"/>
        <w:gridCol w:w="519"/>
        <w:gridCol w:w="519"/>
        <w:gridCol w:w="1389"/>
      </w:tblGrid>
      <w:tr w14:paraId="7929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1" w:type="pct"/>
            <w:vMerge w:val="restart"/>
            <w:noWrap w:val="0"/>
            <w:vAlign w:val="center"/>
          </w:tcPr>
          <w:p w14:paraId="032660B4">
            <w:pPr>
              <w:spacing w:line="240" w:lineRule="auto"/>
              <w:jc w:val="center"/>
              <w:rPr>
                <w:rFonts w:ascii="黑体" w:hAnsi="黑体" w:eastAsia="黑体"/>
                <w:sz w:val="18"/>
                <w:szCs w:val="18"/>
              </w:rPr>
            </w:pPr>
            <w:r>
              <w:rPr>
                <w:rFonts w:hint="eastAsia" w:ascii="黑体" w:hAnsi="黑体" w:eastAsia="黑体"/>
                <w:sz w:val="18"/>
                <w:szCs w:val="18"/>
              </w:rPr>
              <w:t>序号</w:t>
            </w:r>
          </w:p>
        </w:tc>
        <w:tc>
          <w:tcPr>
            <w:tcW w:w="656" w:type="pct"/>
            <w:vMerge w:val="restart"/>
            <w:noWrap w:val="0"/>
            <w:vAlign w:val="center"/>
          </w:tcPr>
          <w:p w14:paraId="4FABE2C8">
            <w:pPr>
              <w:spacing w:line="240" w:lineRule="auto"/>
              <w:jc w:val="center"/>
              <w:rPr>
                <w:rFonts w:hint="eastAsia" w:ascii="黑体" w:hAnsi="黑体" w:eastAsia="黑体"/>
                <w:sz w:val="18"/>
                <w:szCs w:val="18"/>
              </w:rPr>
            </w:pPr>
            <w:r>
              <w:rPr>
                <w:rFonts w:hint="eastAsia" w:ascii="黑体" w:hAnsi="黑体" w:eastAsia="黑体"/>
                <w:sz w:val="18"/>
                <w:szCs w:val="18"/>
              </w:rPr>
              <w:t>材料名称</w:t>
            </w:r>
          </w:p>
        </w:tc>
        <w:tc>
          <w:tcPr>
            <w:tcW w:w="2553" w:type="pct"/>
            <w:vMerge w:val="restart"/>
            <w:noWrap w:val="0"/>
            <w:vAlign w:val="center"/>
          </w:tcPr>
          <w:p w14:paraId="4F41BE3A">
            <w:pPr>
              <w:spacing w:line="240" w:lineRule="auto"/>
              <w:jc w:val="center"/>
              <w:rPr>
                <w:rFonts w:ascii="黑体" w:hAnsi="黑体" w:eastAsia="黑体"/>
                <w:sz w:val="18"/>
                <w:szCs w:val="18"/>
              </w:rPr>
            </w:pPr>
            <w:r>
              <w:rPr>
                <w:rFonts w:hint="eastAsia" w:ascii="黑体" w:hAnsi="黑体" w:eastAsia="黑体"/>
                <w:sz w:val="18"/>
                <w:szCs w:val="18"/>
              </w:rPr>
              <w:t>材料说明</w:t>
            </w:r>
          </w:p>
        </w:tc>
        <w:tc>
          <w:tcPr>
            <w:tcW w:w="1650" w:type="pct"/>
            <w:gridSpan w:val="4"/>
            <w:noWrap w:val="0"/>
            <w:vAlign w:val="center"/>
          </w:tcPr>
          <w:p w14:paraId="24BE9A35">
            <w:pPr>
              <w:spacing w:line="240" w:lineRule="auto"/>
              <w:jc w:val="center"/>
              <w:rPr>
                <w:rFonts w:hint="eastAsia" w:ascii="黑体" w:hAnsi="黑体" w:eastAsia="黑体"/>
                <w:sz w:val="18"/>
                <w:szCs w:val="18"/>
              </w:rPr>
            </w:pPr>
            <w:r>
              <w:rPr>
                <w:rFonts w:hint="eastAsia" w:ascii="黑体" w:hAnsi="黑体" w:eastAsia="黑体"/>
                <w:sz w:val="18"/>
                <w:szCs w:val="18"/>
              </w:rPr>
              <w:t>申请</w:t>
            </w:r>
            <w:r>
              <w:rPr>
                <w:rFonts w:ascii="黑体" w:hAnsi="黑体" w:eastAsia="黑体"/>
                <w:sz w:val="18"/>
                <w:szCs w:val="18"/>
              </w:rPr>
              <w:t>类别</w:t>
            </w:r>
            <w:r>
              <w:rPr>
                <w:rFonts w:hint="eastAsia" w:ascii="黑体" w:hAnsi="黑体" w:eastAsia="黑体"/>
                <w:sz w:val="18"/>
                <w:szCs w:val="18"/>
              </w:rPr>
              <w:t>，打★的</w:t>
            </w:r>
            <w:r>
              <w:rPr>
                <w:rFonts w:ascii="黑体" w:hAnsi="黑体" w:eastAsia="黑体"/>
                <w:sz w:val="18"/>
                <w:szCs w:val="18"/>
              </w:rPr>
              <w:t>为</w:t>
            </w:r>
            <w:r>
              <w:rPr>
                <w:rFonts w:hint="eastAsia" w:ascii="黑体" w:hAnsi="黑体" w:eastAsia="黑体"/>
                <w:sz w:val="18"/>
                <w:szCs w:val="18"/>
              </w:rPr>
              <w:t>需</w:t>
            </w:r>
            <w:r>
              <w:rPr>
                <w:rFonts w:ascii="黑体" w:hAnsi="黑体" w:eastAsia="黑体"/>
                <w:sz w:val="18"/>
                <w:szCs w:val="18"/>
              </w:rPr>
              <w:t>提交</w:t>
            </w:r>
            <w:r>
              <w:rPr>
                <w:rFonts w:hint="eastAsia" w:ascii="黑体" w:hAnsi="黑体" w:eastAsia="黑体"/>
                <w:sz w:val="18"/>
                <w:szCs w:val="18"/>
              </w:rPr>
              <w:t>的</w:t>
            </w:r>
            <w:r>
              <w:rPr>
                <w:rFonts w:ascii="黑体" w:hAnsi="黑体" w:eastAsia="黑体"/>
                <w:sz w:val="18"/>
                <w:szCs w:val="18"/>
              </w:rPr>
              <w:t>材料</w:t>
            </w:r>
          </w:p>
        </w:tc>
      </w:tr>
      <w:tr w14:paraId="3177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1" w:type="pct"/>
            <w:vMerge w:val="continue"/>
            <w:noWrap w:val="0"/>
            <w:vAlign w:val="center"/>
          </w:tcPr>
          <w:p w14:paraId="2C5637E9">
            <w:pPr>
              <w:spacing w:line="240" w:lineRule="auto"/>
              <w:jc w:val="center"/>
              <w:rPr>
                <w:rFonts w:hint="eastAsia" w:ascii="黑体" w:hAnsi="黑体" w:eastAsia="黑体"/>
                <w:sz w:val="18"/>
                <w:szCs w:val="18"/>
              </w:rPr>
            </w:pPr>
          </w:p>
        </w:tc>
        <w:tc>
          <w:tcPr>
            <w:tcW w:w="656" w:type="pct"/>
            <w:vMerge w:val="continue"/>
            <w:noWrap w:val="0"/>
            <w:vAlign w:val="center"/>
          </w:tcPr>
          <w:p w14:paraId="0A9E41E6">
            <w:pPr>
              <w:spacing w:line="240" w:lineRule="auto"/>
              <w:jc w:val="center"/>
              <w:rPr>
                <w:rFonts w:hint="eastAsia" w:ascii="黑体" w:hAnsi="黑体" w:eastAsia="黑体"/>
                <w:sz w:val="18"/>
                <w:szCs w:val="18"/>
              </w:rPr>
            </w:pPr>
          </w:p>
        </w:tc>
        <w:tc>
          <w:tcPr>
            <w:tcW w:w="2553" w:type="pct"/>
            <w:vMerge w:val="continue"/>
            <w:noWrap w:val="0"/>
            <w:vAlign w:val="center"/>
          </w:tcPr>
          <w:p w14:paraId="7F52FC03">
            <w:pPr>
              <w:spacing w:line="240" w:lineRule="auto"/>
              <w:jc w:val="center"/>
              <w:rPr>
                <w:rFonts w:hint="eastAsia" w:ascii="黑体" w:hAnsi="黑体" w:eastAsia="黑体"/>
                <w:sz w:val="18"/>
                <w:szCs w:val="18"/>
              </w:rPr>
            </w:pPr>
          </w:p>
        </w:tc>
        <w:tc>
          <w:tcPr>
            <w:tcW w:w="300" w:type="pct"/>
            <w:noWrap w:val="0"/>
            <w:vAlign w:val="center"/>
          </w:tcPr>
          <w:p w14:paraId="0B31984A">
            <w:pPr>
              <w:spacing w:line="240" w:lineRule="auto"/>
              <w:jc w:val="center"/>
              <w:rPr>
                <w:rFonts w:ascii="黑体" w:hAnsi="黑体" w:eastAsia="黑体"/>
                <w:sz w:val="18"/>
                <w:szCs w:val="18"/>
              </w:rPr>
            </w:pPr>
            <w:r>
              <w:rPr>
                <w:rFonts w:hint="eastAsia" w:ascii="黑体" w:hAnsi="黑体" w:eastAsia="黑体"/>
                <w:sz w:val="18"/>
                <w:szCs w:val="18"/>
              </w:rPr>
              <w:t>新建</w:t>
            </w:r>
          </w:p>
          <w:p w14:paraId="41F56DF0">
            <w:pPr>
              <w:spacing w:line="240" w:lineRule="auto"/>
              <w:jc w:val="center"/>
              <w:rPr>
                <w:rFonts w:hint="eastAsia" w:ascii="黑体" w:hAnsi="黑体" w:eastAsia="黑体"/>
                <w:sz w:val="18"/>
                <w:szCs w:val="18"/>
              </w:rPr>
            </w:pPr>
            <w:r>
              <w:rPr>
                <w:rFonts w:hint="eastAsia" w:ascii="黑体" w:hAnsi="黑体" w:eastAsia="黑体"/>
                <w:sz w:val="18"/>
                <w:szCs w:val="18"/>
              </w:rPr>
              <w:t>预登记</w:t>
            </w:r>
          </w:p>
        </w:tc>
        <w:tc>
          <w:tcPr>
            <w:tcW w:w="293" w:type="pct"/>
            <w:noWrap w:val="0"/>
            <w:vAlign w:val="center"/>
          </w:tcPr>
          <w:p w14:paraId="1CFFA7F9">
            <w:pPr>
              <w:spacing w:line="240" w:lineRule="auto"/>
              <w:jc w:val="center"/>
              <w:rPr>
                <w:rFonts w:ascii="黑体" w:hAnsi="黑体" w:eastAsia="黑体"/>
                <w:sz w:val="18"/>
                <w:szCs w:val="18"/>
              </w:rPr>
            </w:pPr>
            <w:r>
              <w:rPr>
                <w:rFonts w:hint="eastAsia" w:ascii="黑体" w:hAnsi="黑体" w:eastAsia="黑体"/>
                <w:sz w:val="18"/>
                <w:szCs w:val="18"/>
              </w:rPr>
              <w:t>改建</w:t>
            </w:r>
          </w:p>
          <w:p w14:paraId="7E7810AA">
            <w:pPr>
              <w:spacing w:line="240" w:lineRule="auto"/>
              <w:jc w:val="center"/>
              <w:rPr>
                <w:rFonts w:hint="eastAsia" w:ascii="黑体" w:hAnsi="黑体" w:eastAsia="黑体"/>
                <w:sz w:val="18"/>
                <w:szCs w:val="18"/>
              </w:rPr>
            </w:pPr>
            <w:r>
              <w:rPr>
                <w:rFonts w:hint="eastAsia" w:ascii="黑体" w:hAnsi="黑体" w:eastAsia="黑体"/>
                <w:sz w:val="18"/>
                <w:szCs w:val="18"/>
              </w:rPr>
              <w:t>预登记</w:t>
            </w:r>
          </w:p>
        </w:tc>
        <w:tc>
          <w:tcPr>
            <w:tcW w:w="293" w:type="pct"/>
            <w:noWrap w:val="0"/>
            <w:vAlign w:val="center"/>
          </w:tcPr>
          <w:p w14:paraId="2D372B18">
            <w:pPr>
              <w:spacing w:line="240" w:lineRule="auto"/>
              <w:jc w:val="center"/>
              <w:rPr>
                <w:rFonts w:ascii="黑体" w:hAnsi="黑体" w:eastAsia="黑体"/>
                <w:sz w:val="18"/>
                <w:szCs w:val="18"/>
              </w:rPr>
            </w:pPr>
            <w:r>
              <w:rPr>
                <w:rFonts w:hint="eastAsia" w:ascii="黑体" w:hAnsi="黑体" w:eastAsia="黑体"/>
                <w:sz w:val="18"/>
                <w:szCs w:val="18"/>
              </w:rPr>
              <w:t>变更</w:t>
            </w:r>
          </w:p>
          <w:p w14:paraId="4586C22A">
            <w:pPr>
              <w:spacing w:line="240" w:lineRule="auto"/>
              <w:jc w:val="center"/>
              <w:rPr>
                <w:rFonts w:hint="eastAsia" w:ascii="黑体" w:hAnsi="黑体" w:eastAsia="黑体"/>
                <w:sz w:val="18"/>
                <w:szCs w:val="18"/>
              </w:rPr>
            </w:pPr>
            <w:r>
              <w:rPr>
                <w:rFonts w:hint="eastAsia" w:ascii="黑体" w:hAnsi="黑体" w:eastAsia="黑体"/>
                <w:sz w:val="18"/>
                <w:szCs w:val="18"/>
              </w:rPr>
              <w:t>登记</w:t>
            </w:r>
          </w:p>
        </w:tc>
        <w:tc>
          <w:tcPr>
            <w:tcW w:w="764" w:type="pct"/>
            <w:noWrap w:val="0"/>
            <w:vAlign w:val="center"/>
          </w:tcPr>
          <w:p w14:paraId="0C38D21A">
            <w:pPr>
              <w:spacing w:line="240" w:lineRule="auto"/>
              <w:jc w:val="center"/>
              <w:rPr>
                <w:rFonts w:ascii="黑体" w:hAnsi="黑体" w:eastAsia="黑体"/>
                <w:sz w:val="18"/>
                <w:szCs w:val="18"/>
              </w:rPr>
            </w:pPr>
            <w:r>
              <w:rPr>
                <w:rFonts w:hint="eastAsia" w:ascii="黑体" w:hAnsi="黑体" w:eastAsia="黑体"/>
                <w:sz w:val="18"/>
                <w:szCs w:val="18"/>
              </w:rPr>
              <w:t>已建</w:t>
            </w:r>
            <w:r>
              <w:rPr>
                <w:rFonts w:ascii="黑体" w:hAnsi="黑体" w:eastAsia="黑体"/>
                <w:sz w:val="18"/>
                <w:szCs w:val="18"/>
              </w:rPr>
              <w:t>登记</w:t>
            </w:r>
          </w:p>
          <w:p w14:paraId="4C3790DA">
            <w:pPr>
              <w:spacing w:line="240" w:lineRule="auto"/>
              <w:jc w:val="center"/>
              <w:rPr>
                <w:rFonts w:hint="eastAsia" w:ascii="黑体" w:hAnsi="黑体" w:eastAsia="黑体"/>
                <w:sz w:val="18"/>
                <w:szCs w:val="18"/>
              </w:rPr>
            </w:pPr>
            <w:r>
              <w:rPr>
                <w:rFonts w:hint="eastAsia" w:ascii="黑体" w:hAnsi="黑体" w:eastAsia="黑体"/>
                <w:sz w:val="18"/>
                <w:szCs w:val="18"/>
              </w:rPr>
              <w:t>（包括</w:t>
            </w:r>
            <w:r>
              <w:rPr>
                <w:rFonts w:ascii="黑体" w:hAnsi="黑体" w:eastAsia="黑体"/>
                <w:sz w:val="18"/>
                <w:szCs w:val="18"/>
              </w:rPr>
              <w:t>预登记</w:t>
            </w:r>
            <w:r>
              <w:rPr>
                <w:rFonts w:hint="eastAsia" w:ascii="黑体" w:hAnsi="黑体" w:eastAsia="黑体"/>
                <w:sz w:val="18"/>
                <w:szCs w:val="18"/>
              </w:rPr>
              <w:t>完善手续</w:t>
            </w:r>
            <w:r>
              <w:rPr>
                <w:rFonts w:ascii="黑体" w:hAnsi="黑体" w:eastAsia="黑体"/>
                <w:sz w:val="18"/>
                <w:szCs w:val="18"/>
              </w:rPr>
              <w:t>）</w:t>
            </w:r>
          </w:p>
        </w:tc>
      </w:tr>
      <w:tr w14:paraId="1BF4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 w:type="pct"/>
            <w:noWrap w:val="0"/>
            <w:vAlign w:val="center"/>
          </w:tcPr>
          <w:p w14:paraId="05BE70D7">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1</w:t>
            </w:r>
          </w:p>
        </w:tc>
        <w:tc>
          <w:tcPr>
            <w:tcW w:w="656" w:type="pct"/>
            <w:noWrap w:val="0"/>
            <w:vAlign w:val="center"/>
          </w:tcPr>
          <w:p w14:paraId="0888DF66">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项目申请登记表</w:t>
            </w:r>
          </w:p>
        </w:tc>
        <w:tc>
          <w:tcPr>
            <w:tcW w:w="2553" w:type="pct"/>
            <w:noWrap w:val="0"/>
            <w:vAlign w:val="center"/>
          </w:tcPr>
          <w:p w14:paraId="0155390B">
            <w:pPr>
              <w:spacing w:line="240" w:lineRule="auto"/>
              <w:jc w:val="both"/>
              <w:rPr>
                <w:rFonts w:hint="eastAsia" w:ascii="仿宋_GB2312" w:hAnsi="仿宋_GB2312" w:eastAsia="仿宋_GB2312" w:cs="仿宋_GB2312"/>
                <w:sz w:val="18"/>
                <w:szCs w:val="18"/>
              </w:rPr>
            </w:pPr>
          </w:p>
        </w:tc>
        <w:tc>
          <w:tcPr>
            <w:tcW w:w="300" w:type="pct"/>
            <w:noWrap w:val="0"/>
            <w:vAlign w:val="center"/>
          </w:tcPr>
          <w:p w14:paraId="28182108">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69AE116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0A2A2502">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444190A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2AB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 w:type="pct"/>
            <w:noWrap w:val="0"/>
            <w:vAlign w:val="center"/>
          </w:tcPr>
          <w:p w14:paraId="440C9E52">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2</w:t>
            </w:r>
          </w:p>
        </w:tc>
        <w:tc>
          <w:tcPr>
            <w:tcW w:w="656" w:type="pct"/>
            <w:noWrap w:val="0"/>
            <w:vAlign w:val="center"/>
          </w:tcPr>
          <w:p w14:paraId="18DE4D95">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承诺书</w:t>
            </w:r>
          </w:p>
        </w:tc>
        <w:tc>
          <w:tcPr>
            <w:tcW w:w="2553" w:type="pct"/>
            <w:noWrap w:val="0"/>
            <w:vAlign w:val="center"/>
          </w:tcPr>
          <w:p w14:paraId="3B2F805C">
            <w:pPr>
              <w:spacing w:line="240" w:lineRule="auto"/>
              <w:jc w:val="both"/>
              <w:rPr>
                <w:rFonts w:hint="eastAsia" w:ascii="仿宋_GB2312" w:hAnsi="仿宋_GB2312" w:eastAsia="仿宋_GB2312" w:cs="仿宋_GB2312"/>
                <w:sz w:val="18"/>
                <w:szCs w:val="18"/>
              </w:rPr>
            </w:pPr>
          </w:p>
        </w:tc>
        <w:tc>
          <w:tcPr>
            <w:tcW w:w="300" w:type="pct"/>
            <w:noWrap w:val="0"/>
            <w:vAlign w:val="center"/>
          </w:tcPr>
          <w:p w14:paraId="0800AF9D">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74EDC08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4FEB823E">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44CFDF2E">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4E79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 w:type="pct"/>
            <w:noWrap w:val="0"/>
            <w:vAlign w:val="center"/>
          </w:tcPr>
          <w:p w14:paraId="33B08DEA">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3</w:t>
            </w:r>
          </w:p>
        </w:tc>
        <w:tc>
          <w:tcPr>
            <w:tcW w:w="656" w:type="pct"/>
            <w:noWrap w:val="0"/>
            <w:vAlign w:val="center"/>
          </w:tcPr>
          <w:p w14:paraId="6C5770EA">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营业执照</w:t>
            </w:r>
          </w:p>
        </w:tc>
        <w:tc>
          <w:tcPr>
            <w:tcW w:w="2553" w:type="pct"/>
            <w:noWrap w:val="0"/>
            <w:vAlign w:val="center"/>
          </w:tcPr>
          <w:p w14:paraId="6267D829">
            <w:pPr>
              <w:spacing w:line="240" w:lineRule="auto"/>
              <w:jc w:val="both"/>
              <w:rPr>
                <w:rFonts w:hint="eastAsia" w:ascii="仿宋_GB2312" w:hAnsi="仿宋_GB2312" w:eastAsia="仿宋_GB2312" w:cs="仿宋_GB2312"/>
                <w:sz w:val="18"/>
                <w:szCs w:val="18"/>
              </w:rPr>
            </w:pPr>
          </w:p>
        </w:tc>
        <w:tc>
          <w:tcPr>
            <w:tcW w:w="300" w:type="pct"/>
            <w:noWrap w:val="0"/>
            <w:vAlign w:val="center"/>
          </w:tcPr>
          <w:p w14:paraId="323ED811">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2BF98970">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5CEA7E1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34639F5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1918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 w:type="pct"/>
            <w:noWrap w:val="0"/>
            <w:vAlign w:val="center"/>
          </w:tcPr>
          <w:p w14:paraId="36C87E56">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4</w:t>
            </w:r>
          </w:p>
        </w:tc>
        <w:tc>
          <w:tcPr>
            <w:tcW w:w="656" w:type="pct"/>
            <w:noWrap w:val="0"/>
            <w:vAlign w:val="center"/>
          </w:tcPr>
          <w:p w14:paraId="07B88569">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负责人身份证</w:t>
            </w:r>
          </w:p>
        </w:tc>
        <w:tc>
          <w:tcPr>
            <w:tcW w:w="2553" w:type="pct"/>
            <w:noWrap w:val="0"/>
            <w:vAlign w:val="center"/>
          </w:tcPr>
          <w:p w14:paraId="05EB81F5">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负责人原则上为企业的法定代表人。</w:t>
            </w:r>
          </w:p>
        </w:tc>
        <w:tc>
          <w:tcPr>
            <w:tcW w:w="300" w:type="pct"/>
            <w:noWrap w:val="0"/>
            <w:vAlign w:val="center"/>
          </w:tcPr>
          <w:p w14:paraId="29EF8C8D">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0FC5F0C8">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24C5F876">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61BB2BB3">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17BF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 w:type="pct"/>
            <w:noWrap w:val="0"/>
            <w:vAlign w:val="center"/>
          </w:tcPr>
          <w:p w14:paraId="3BAD9256">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5</w:t>
            </w:r>
          </w:p>
        </w:tc>
        <w:tc>
          <w:tcPr>
            <w:tcW w:w="656" w:type="pct"/>
            <w:noWrap w:val="0"/>
            <w:vAlign w:val="center"/>
          </w:tcPr>
          <w:p w14:paraId="69A21018">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场地使用证明</w:t>
            </w:r>
          </w:p>
        </w:tc>
        <w:tc>
          <w:tcPr>
            <w:tcW w:w="2553" w:type="pct"/>
            <w:noWrap w:val="0"/>
            <w:vAlign w:val="center"/>
          </w:tcPr>
          <w:p w14:paraId="7E8058C4">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指申请人合法取得该场地使用权的书面证明，例如《国有土地使用证》《集体土地所有证》《不动产权证》等，如为租赁取得应一并提供租赁合同。利用既有居民小区公共车位建设充电站场的，还须提供小区业主同意（具体按《民法典》等相关法律规定）的证明资料。</w:t>
            </w:r>
          </w:p>
        </w:tc>
        <w:tc>
          <w:tcPr>
            <w:tcW w:w="300" w:type="pct"/>
            <w:noWrap w:val="0"/>
            <w:vAlign w:val="center"/>
          </w:tcPr>
          <w:p w14:paraId="6E14EB87">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5990C781">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737388F3">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7DDE53C5">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0E59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 w:type="pct"/>
            <w:noWrap w:val="0"/>
            <w:vAlign w:val="center"/>
          </w:tcPr>
          <w:p w14:paraId="15F49559">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6</w:t>
            </w:r>
          </w:p>
        </w:tc>
        <w:tc>
          <w:tcPr>
            <w:tcW w:w="656" w:type="pct"/>
            <w:noWrap w:val="0"/>
            <w:vAlign w:val="center"/>
          </w:tcPr>
          <w:p w14:paraId="1499EDD4">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运营安全管理制度及专业人员配置情况</w:t>
            </w:r>
          </w:p>
        </w:tc>
        <w:tc>
          <w:tcPr>
            <w:tcW w:w="2553" w:type="pct"/>
            <w:noWrap w:val="0"/>
            <w:vAlign w:val="center"/>
          </w:tcPr>
          <w:p w14:paraId="31E33293">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运营安全管理制度包括但不限于安全隐患排查制度、设施设备管理制度。专业人员方面，企业应配置不少于</w:t>
            </w:r>
            <w:r>
              <w:rPr>
                <w:rFonts w:hint="eastAsia" w:ascii="Times New Roman" w:hAnsi="Times New Roman" w:eastAsia="仿宋_GB2312" w:cs="仿宋_GB2312"/>
                <w:sz w:val="18"/>
                <w:szCs w:val="18"/>
              </w:rPr>
              <w:t>2</w:t>
            </w:r>
            <w:r>
              <w:rPr>
                <w:rFonts w:hint="eastAsia" w:ascii="仿宋_GB2312" w:hAnsi="仿宋_GB2312" w:eastAsia="仿宋_GB2312" w:cs="仿宋_GB2312"/>
                <w:sz w:val="18"/>
                <w:szCs w:val="18"/>
              </w:rPr>
              <w:t>名持有特种作业操作证（电工证）的员工，并提供上述员工在本企业不少于两个月的连续缴纳社保证明。委托第三方对项目进行维保管理的，须提供的维保管理合同，以及第三方具备相关资质的证明材料。</w:t>
            </w:r>
          </w:p>
        </w:tc>
        <w:tc>
          <w:tcPr>
            <w:tcW w:w="300" w:type="pct"/>
            <w:noWrap w:val="0"/>
            <w:vAlign w:val="center"/>
          </w:tcPr>
          <w:p w14:paraId="0AB27FF5">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28A40860">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13130F02">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7ED0124D">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3777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 w:type="pct"/>
            <w:noWrap w:val="0"/>
            <w:vAlign w:val="center"/>
          </w:tcPr>
          <w:p w14:paraId="47FAFA51">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7</w:t>
            </w:r>
          </w:p>
        </w:tc>
        <w:tc>
          <w:tcPr>
            <w:tcW w:w="656" w:type="pct"/>
            <w:noWrap w:val="0"/>
            <w:vAlign w:val="center"/>
          </w:tcPr>
          <w:p w14:paraId="4C5B1579">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按照有关标准对项目进行竣工验收所形成的竣工验收合格报告</w:t>
            </w:r>
          </w:p>
        </w:tc>
        <w:tc>
          <w:tcPr>
            <w:tcW w:w="2553" w:type="pct"/>
            <w:noWrap w:val="0"/>
            <w:vAlign w:val="center"/>
          </w:tcPr>
          <w:p w14:paraId="3477E45E">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申请登记的充换电设施项目应委托受中国合格评定国家认可委员会（</w:t>
            </w:r>
            <w:r>
              <w:rPr>
                <w:rFonts w:hint="eastAsia" w:ascii="Times New Roman" w:hAnsi="Times New Roman" w:eastAsia="仿宋_GB2312" w:cs="仿宋_GB2312"/>
                <w:sz w:val="18"/>
                <w:szCs w:val="18"/>
              </w:rPr>
              <w:t>CNAS</w:t>
            </w:r>
            <w:r>
              <w:rPr>
                <w:rFonts w:hint="eastAsia" w:ascii="仿宋_GB2312" w:hAnsi="仿宋_GB2312" w:eastAsia="仿宋_GB2312" w:cs="仿宋_GB2312"/>
                <w:sz w:val="18"/>
                <w:szCs w:val="18"/>
              </w:rPr>
              <w:t>）认可的第三方机构进行检测验收，竣工验收相关规范包括但不限于：《电动汽车充电站设计规范》（</w:t>
            </w:r>
            <w:r>
              <w:rPr>
                <w:rFonts w:hint="eastAsia" w:ascii="Times New Roman" w:hAnsi="Times New Roman" w:eastAsia="仿宋_GB2312" w:cs="仿宋_GB2312"/>
                <w:sz w:val="18"/>
                <w:szCs w:val="18"/>
              </w:rPr>
              <w:t>GB</w:t>
            </w:r>
            <w:r>
              <w:rPr>
                <w:rFonts w:hint="eastAsia" w:ascii="仿宋_GB2312" w:hAnsi="仿宋_GB2312" w:eastAsia="仿宋_GB2312" w:cs="仿宋_GB2312"/>
                <w:sz w:val="18"/>
                <w:szCs w:val="18"/>
              </w:rPr>
              <w:t xml:space="preserve"> </w:t>
            </w:r>
            <w:r>
              <w:rPr>
                <w:rFonts w:hint="eastAsia" w:ascii="Times New Roman" w:hAnsi="Times New Roman" w:eastAsia="仿宋_GB2312" w:cs="仿宋_GB2312"/>
                <w:sz w:val="18"/>
                <w:szCs w:val="18"/>
              </w:rPr>
              <w:t>50966</w:t>
            </w:r>
            <w:r>
              <w:rPr>
                <w:rFonts w:hint="eastAsia" w:ascii="仿宋_GB2312" w:hAnsi="仿宋_GB2312" w:eastAsia="仿宋_GB2312" w:cs="仿宋_GB2312"/>
                <w:sz w:val="18"/>
                <w:szCs w:val="18"/>
              </w:rPr>
              <w:t>）、《电动汽车充换电设施工程施工和竣工验收规范》（</w:t>
            </w:r>
            <w:r>
              <w:rPr>
                <w:rFonts w:hint="eastAsia" w:ascii="Times New Roman" w:hAnsi="Times New Roman" w:eastAsia="仿宋_GB2312" w:cs="仿宋_GB2312"/>
                <w:sz w:val="18"/>
                <w:szCs w:val="18"/>
              </w:rPr>
              <w:t>NB</w:t>
            </w:r>
            <w:r>
              <w:rPr>
                <w:rFonts w:hint="eastAsia" w:ascii="仿宋_GB2312" w:hAnsi="仿宋_GB2312" w:eastAsia="仿宋_GB2312" w:cs="仿宋_GB2312"/>
                <w:sz w:val="18"/>
                <w:szCs w:val="18"/>
              </w:rPr>
              <w:t>/</w:t>
            </w:r>
            <w:r>
              <w:rPr>
                <w:rFonts w:hint="eastAsia" w:ascii="Times New Roman" w:hAnsi="Times New Roman" w:eastAsia="仿宋_GB2312" w:cs="仿宋_GB2312"/>
                <w:sz w:val="18"/>
                <w:szCs w:val="18"/>
              </w:rPr>
              <w:t>T</w:t>
            </w:r>
            <w:r>
              <w:rPr>
                <w:rFonts w:hint="eastAsia" w:ascii="仿宋_GB2312" w:hAnsi="仿宋_GB2312" w:eastAsia="仿宋_GB2312" w:cs="仿宋_GB2312"/>
                <w:sz w:val="18"/>
                <w:szCs w:val="18"/>
              </w:rPr>
              <w:t xml:space="preserve"> </w:t>
            </w:r>
            <w:r>
              <w:rPr>
                <w:rFonts w:hint="eastAsia" w:ascii="Times New Roman" w:hAnsi="Times New Roman" w:eastAsia="仿宋_GB2312" w:cs="仿宋_GB2312"/>
                <w:sz w:val="18"/>
                <w:szCs w:val="18"/>
              </w:rPr>
              <w:t>33004</w:t>
            </w:r>
            <w:r>
              <w:rPr>
                <w:rFonts w:hint="eastAsia" w:ascii="仿宋_GB2312" w:hAnsi="仿宋_GB2312" w:eastAsia="仿宋_GB2312" w:cs="仿宋_GB2312"/>
                <w:sz w:val="18"/>
                <w:szCs w:val="18"/>
              </w:rPr>
              <w:t>）等。</w:t>
            </w:r>
          </w:p>
        </w:tc>
        <w:tc>
          <w:tcPr>
            <w:tcW w:w="300" w:type="pct"/>
            <w:noWrap w:val="0"/>
            <w:vAlign w:val="center"/>
          </w:tcPr>
          <w:p w14:paraId="7F94FB57">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34639CE7">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47E17149">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147F60B3">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2C8B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 w:type="pct"/>
            <w:noWrap w:val="0"/>
            <w:vAlign w:val="center"/>
          </w:tcPr>
          <w:p w14:paraId="38D8706C">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8</w:t>
            </w:r>
          </w:p>
        </w:tc>
        <w:tc>
          <w:tcPr>
            <w:tcW w:w="656" w:type="pct"/>
            <w:noWrap w:val="0"/>
            <w:vAlign w:val="center"/>
          </w:tcPr>
          <w:p w14:paraId="32CD7C8A">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项目安全生产责任险投保证明</w:t>
            </w:r>
          </w:p>
        </w:tc>
        <w:tc>
          <w:tcPr>
            <w:tcW w:w="2553" w:type="pct"/>
            <w:noWrap w:val="0"/>
            <w:vAlign w:val="center"/>
          </w:tcPr>
          <w:p w14:paraId="314A3FB1">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如保单、保险公司出具的投保证明等。企业投保安全生产责任险如果已包含本充电桩项目，可无需为本项目单独购买保险。</w:t>
            </w:r>
          </w:p>
        </w:tc>
        <w:tc>
          <w:tcPr>
            <w:tcW w:w="300" w:type="pct"/>
            <w:noWrap w:val="0"/>
            <w:vAlign w:val="center"/>
          </w:tcPr>
          <w:p w14:paraId="48A45589">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4D4EE1D4">
            <w:pPr>
              <w:spacing w:line="240" w:lineRule="auto"/>
              <w:jc w:val="center"/>
              <w:rPr>
                <w:rFonts w:hint="eastAsia" w:ascii="仿宋_GB2312" w:hAnsi="仿宋_GB2312" w:eastAsia="仿宋_GB2312" w:cs="仿宋_GB2312"/>
                <w:sz w:val="18"/>
                <w:szCs w:val="18"/>
              </w:rPr>
            </w:pPr>
          </w:p>
        </w:tc>
        <w:tc>
          <w:tcPr>
            <w:tcW w:w="293" w:type="pct"/>
            <w:noWrap w:val="0"/>
            <w:vAlign w:val="center"/>
          </w:tcPr>
          <w:p w14:paraId="76143307">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4ECBEE74">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2147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 w:type="pct"/>
            <w:noWrap w:val="0"/>
            <w:vAlign w:val="center"/>
          </w:tcPr>
          <w:p w14:paraId="08617DE9">
            <w:pPr>
              <w:spacing w:line="240" w:lineRule="auto"/>
              <w:jc w:val="center"/>
              <w:rPr>
                <w:rFonts w:hint="eastAsia" w:ascii="仿宋_GB2312" w:hAnsi="仿宋_GB2312" w:eastAsia="仿宋_GB2312" w:cs="仿宋_GB2312"/>
                <w:sz w:val="18"/>
                <w:szCs w:val="18"/>
              </w:rPr>
            </w:pPr>
            <w:r>
              <w:rPr>
                <w:rFonts w:hint="eastAsia" w:ascii="Times New Roman" w:hAnsi="Times New Roman" w:eastAsia="仿宋_GB2312" w:cs="仿宋_GB2312"/>
                <w:sz w:val="18"/>
                <w:szCs w:val="18"/>
              </w:rPr>
              <w:t>9</w:t>
            </w:r>
          </w:p>
        </w:tc>
        <w:tc>
          <w:tcPr>
            <w:tcW w:w="656" w:type="pct"/>
            <w:noWrap w:val="0"/>
            <w:vAlign w:val="center"/>
          </w:tcPr>
          <w:p w14:paraId="67F64320">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第三方出具的建站场所符合消防等安全标准的报告</w:t>
            </w:r>
          </w:p>
        </w:tc>
        <w:tc>
          <w:tcPr>
            <w:tcW w:w="2553" w:type="pct"/>
            <w:noWrap w:val="0"/>
            <w:vAlign w:val="center"/>
          </w:tcPr>
          <w:p w14:paraId="6184D394">
            <w:pPr>
              <w:spacing w:line="24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视场站设置情况提交。如建设在建筑物内或靠近危险化学品等区域，须提供消防主管部门或有相应资质的第三方机构出具的运营场所符合消防等相关安全标准的证明文件。单个充电终端功率为</w:t>
            </w:r>
            <w:r>
              <w:rPr>
                <w:rFonts w:hint="eastAsia" w:ascii="Times New Roman" w:hAnsi="Times New Roman" w:eastAsia="仿宋_GB2312" w:cs="仿宋_GB2312"/>
                <w:sz w:val="18"/>
                <w:szCs w:val="18"/>
              </w:rPr>
              <w:t>7</w:t>
            </w:r>
            <w:r>
              <w:rPr>
                <w:rFonts w:hint="eastAsia" w:ascii="仿宋_GB2312" w:hAnsi="仿宋_GB2312" w:eastAsia="仿宋_GB2312" w:cs="仿宋_GB2312"/>
                <w:sz w:val="18"/>
                <w:szCs w:val="18"/>
              </w:rPr>
              <w:t>千瓦及以下的小功率充电设施除外。</w:t>
            </w:r>
          </w:p>
        </w:tc>
        <w:tc>
          <w:tcPr>
            <w:tcW w:w="300" w:type="pct"/>
            <w:noWrap w:val="0"/>
            <w:vAlign w:val="center"/>
          </w:tcPr>
          <w:p w14:paraId="76B33D7E">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2359E904">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93" w:type="pct"/>
            <w:noWrap w:val="0"/>
            <w:vAlign w:val="center"/>
          </w:tcPr>
          <w:p w14:paraId="5499C2BB">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64" w:type="pct"/>
            <w:noWrap w:val="0"/>
            <w:vAlign w:val="center"/>
          </w:tcPr>
          <w:p w14:paraId="14EFE96A">
            <w:pPr>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14:paraId="023EC53E">
      <w:pPr>
        <w:spacing w:line="240" w:lineRule="exact"/>
        <w:jc w:val="left"/>
        <w:rPr>
          <w:rFonts w:hint="eastAsia" w:ascii="楷体_GB2312" w:hAnsi="楷体_GB2312" w:eastAsia="楷体_GB2312" w:cs="楷体_GB2312"/>
          <w:sz w:val="18"/>
          <w:szCs w:val="18"/>
        </w:rPr>
      </w:pPr>
      <w:r>
        <w:rPr>
          <w:rFonts w:hint="eastAsia" w:ascii="楷体_GB2312" w:hAnsi="楷体_GB2312" w:eastAsia="楷体_GB2312" w:cs="楷体_GB2312"/>
          <w:sz w:val="18"/>
          <w:szCs w:val="18"/>
        </w:rPr>
        <w:t>备注：“改建”指在原登记的场所内（红线范围内）拆除后重新安装，或者增加充换电设施。</w:t>
      </w:r>
    </w:p>
    <w:p w14:paraId="7FE4DF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4D1D5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8704F3D">
      <w:pPr>
        <w:jc w:val="left"/>
        <w:rPr>
          <w:rFonts w:ascii="Times New Roman" w:hAnsi="Times New Roman"/>
          <w:szCs w:val="32"/>
        </w:rPr>
      </w:pPr>
      <w:bookmarkStart w:id="0" w:name="_GoBack"/>
      <w:bookmarkEnd w:id="0"/>
    </w:p>
    <w:p w14:paraId="425B8512">
      <w:pPr>
        <w:jc w:val="left"/>
        <w:rPr>
          <w:rFonts w:ascii="Times New Roman" w:hAnsi="Times New Roman"/>
          <w:szCs w:val="32"/>
        </w:rPr>
        <w:sectPr>
          <w:headerReference r:id="rId5" w:type="first"/>
          <w:headerReference r:id="rId3" w:type="default"/>
          <w:footerReference r:id="rId6" w:type="default"/>
          <w:headerReference r:id="rId4" w:type="even"/>
          <w:footerReference r:id="rId7" w:type="even"/>
          <w:pgSz w:w="11906" w:h="16838"/>
          <w:pgMar w:top="1587" w:right="1474" w:bottom="1587" w:left="1531" w:header="851" w:footer="1417" w:gutter="0"/>
          <w:cols w:space="720" w:num="1"/>
          <w:titlePg/>
          <w:rtlGutter w:val="0"/>
          <w:docGrid w:type="lines" w:linePitch="312" w:charSpace="0"/>
        </w:sectPr>
      </w:pPr>
    </w:p>
    <w:p w14:paraId="006466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B2B9">
    <w:pPr>
      <w:pStyle w:val="2"/>
      <w:framePr w:w="1442" w:wrap="around" w:vAnchor="text" w:hAnchor="margin" w:xAlign="outside" w:y="1"/>
      <w:ind w:firstLine="140" w:firstLineChars="50"/>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rFonts w:ascii="Times New Roman" w:hAnsi="Times New Roman"/>
        <w:sz w:val="28"/>
        <w:szCs w:val="28"/>
      </w:rPr>
      <w:t>3</w:t>
    </w:r>
    <w:r>
      <w:rPr>
        <w:rStyle w:val="6"/>
        <w:sz w:val="28"/>
        <w:szCs w:val="28"/>
      </w:rPr>
      <w:fldChar w:fldCharType="end"/>
    </w:r>
    <w:r>
      <w:rPr>
        <w:rStyle w:val="6"/>
        <w:rFonts w:hint="eastAsia"/>
        <w:sz w:val="28"/>
        <w:szCs w:val="28"/>
      </w:rPr>
      <w:t xml:space="preserve"> —</w:t>
    </w:r>
  </w:p>
  <w:p w14:paraId="180BAB4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94B2">
    <w:pPr>
      <w:pStyle w:val="2"/>
      <w:framePr w:w="1442" w:wrap="around" w:vAnchor="text" w:hAnchor="margin" w:xAlign="outside" w:y="1"/>
      <w:ind w:firstLine="140" w:firstLineChars="50"/>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rFonts w:ascii="Times New Roman" w:hAnsi="Times New Roman"/>
        <w:sz w:val="28"/>
        <w:szCs w:val="28"/>
      </w:rPr>
      <w:t>2</w:t>
    </w:r>
    <w:r>
      <w:rPr>
        <w:rStyle w:val="6"/>
        <w:sz w:val="28"/>
        <w:szCs w:val="28"/>
      </w:rPr>
      <w:fldChar w:fldCharType="end"/>
    </w:r>
    <w:r>
      <w:rPr>
        <w:rStyle w:val="6"/>
        <w:rFonts w:hint="eastAsia"/>
        <w:sz w:val="28"/>
        <w:szCs w:val="28"/>
      </w:rPr>
      <w:t xml:space="preserve"> —</w:t>
    </w:r>
  </w:p>
  <w:p w14:paraId="441BDCF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3ED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443D">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705F">
    <w:pPr>
      <w:pStyle w:val="7"/>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7315"/>
    <w:rsid w:val="21377315"/>
    <w:rsid w:val="79A7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7">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2024-12-10T02:23:00Z</dcterms:created>
  <dc:creator>lxl</dc:creator>
  <cp:lastModifiedBy>lxl</cp:lastModifiedBy>
  <dcterms:modified xsi:type="dcterms:W3CDTF">2024-12-10T02:25:21Z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2E937F1772AD412689BC47D7968C0580_13</vt:lpwstr>
  </property>
</Properties>
</file>