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A913C">
      <w:pPr>
        <w:spacing w:line="440" w:lineRule="exact"/>
        <w:jc w:val="left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eastAsia="zh-CN"/>
        </w:rPr>
      </w:pPr>
      <w:bookmarkStart w:id="0" w:name="_Toc24530_WPSOffice_Level1"/>
      <w:bookmarkStart w:id="1" w:name="_Toc32085_WPSOffice_Level1"/>
      <w:bookmarkStart w:id="2" w:name="_Toc15186_WPSOffice_Level1"/>
      <w:bookmarkStart w:id="3" w:name="_Toc24567_WPSOffice_Level1"/>
      <w:bookmarkStart w:id="4" w:name="_Toc12942_WPSOffice_Level1"/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t>3</w:t>
      </w:r>
    </w:p>
    <w:p w14:paraId="556F5425"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bookmarkEnd w:id="0"/>
    <w:bookmarkEnd w:id="1"/>
    <w:bookmarkEnd w:id="2"/>
    <w:bookmarkEnd w:id="3"/>
    <w:p w14:paraId="2EFC49EE"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5" w:name="_GoBack"/>
      <w:r>
        <w:rPr>
          <w:rFonts w:ascii="Times New Roman" w:hAnsi="Times New Roman" w:eastAsia="黑体" w:cs="Times New Roman"/>
          <w:sz w:val="32"/>
          <w:szCs w:val="32"/>
        </w:rPr>
        <w:t>报价清单</w:t>
      </w:r>
      <w:bookmarkEnd w:id="4"/>
    </w:p>
    <w:bookmarkEnd w:id="5"/>
    <w:p w14:paraId="42C62FDC">
      <w:pPr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</w:p>
    <w:p w14:paraId="05E3305C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报价应包含但不限于：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公交和电信亭灯箱广告成本、地铁灯箱广告成本、广州塔广告成本、道旗广告成本以及劳务费等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。</w:t>
      </w:r>
    </w:p>
    <w:p w14:paraId="1DE89F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2F9E"/>
    <w:rsid w:val="01D27009"/>
    <w:rsid w:val="0D2A2F9E"/>
    <w:rsid w:val="364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2025-06-04T08:13:00Z</dcterms:created>
  <dc:creator>钱大大</dc:creator>
  <cp:lastModifiedBy>钱大大</cp:lastModifiedBy>
  <dcterms:modified xsi:type="dcterms:W3CDTF">2025-06-04T08:14:59Z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B06EA507010E4ED6AD0F1717CFBF8673_13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