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pacing w:line="560" w:lineRule="exact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广州市鼓励船舶电动化试点实施方案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（送审稿）</w:t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工业和信息化部 发展改革委 财政部 生态环境部 交通运输部关于加快内河船舶绿色智能发展的实施意见》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等文件精神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，为支持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加快广州市内河船舶开展电动化试点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保护和改善广州水域环境，探索建设绿色交通运输体系，同时，以此为切入点抢占电动船舶制造发展机遇，做好电动船舶制造产业化能力储备。特制定本方案。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一、总体思路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市场主导、政策激励、市场主体自愿参与原则，在我市开展电动船舶制造（电动船舶是指以纯电池为动力的船舶）和电动船舶营运（使用）试点，为绿色低碳水上交通运输体系建设发挥示范带动作用，并通过应用，带动我市电动船舶制造产业实现突破发展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政策激励主要为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：对在我市从事电动船舶生产、经营、研发设计工作的企业（下同）给予政策奖励，其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对制造电动船舶和制造电池动力推进系统企业给予“制造补贴”，对船舶研发设计机构给予电动船舶研发设计“创新奖励”，对实现电动船舶产业产研用融合发展的项目（即船舶采购主体同船舶制造主体、船舶设计主体签订购买、制造、设计一体合同）给予项目合作方“融合创新奖励”，对电动船舶充电设施运营者给予“充电设施运营补贴”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二、工作目标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通过试点鼓励，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2025年底前，争取我市船舶建造企业制造（含已开工制造的订单）不低于3艘电动拖船、不低于5艘载客船舶、不低于1艘内河货运船舶，我市具备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电动船舶制造能力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；至少3艘电动拖船、至少5艘载客船舶、至少1艘内河货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运船舶在我市水域运营（使用）。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firstLine="42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（除拖船外，上述船舶是指载重吨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1000吨及以上的普通货船、50人以上的载客船舶）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三、试点期限及补贴标准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（一）试点期限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自文件印发之日起至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2025年12月31日止。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（二）补贴（奖励）标准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对制造电动船舶的，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不高于整艘售价的20%给予制造企业补贴，最高补助额不超过1000万元/艘。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研发设计电动船舶的，按不高于船型设计合同总额的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给予研发设计机构补贴，单宗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设计合同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最高补助额不超过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50万元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对制造电动船舶电池动力推进系统的，按不高于整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套售价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30%给予制造企业补助，最高补助不超过500万元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/套。</w:t>
      </w:r>
    </w:p>
    <w:p>
      <w:pPr>
        <w:keepNext w:val="0"/>
        <w:keepLines w:val="0"/>
        <w:pageBreakBefore w:val="0"/>
        <w:widowControl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实现我市电动船舶产研用融合发展项目的，给予项目申报主体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奖励，一个项目只能由一个船舶购买主体申报。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电动船舶产研用融合发展项目及电动船舶充电设施运营的补贴标准，按照市港务局出台的内河航运绿色发展补贴办法具体设施。</w:t>
      </w:r>
    </w:p>
    <w:p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给予上述补贴（奖励），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拖船（含已开工制造的订单，下同）不超过8艘、载客船舶不超过10艘、内河货运船不超过5艘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四、申报补贴（奖励）条件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（一）产品（设施）时限条件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船舶制造、船舶设计时限：船舶购造合同签订时间为2025年6月30日前，完成销售（交付使用，并完成合同金额80%以上支付）时间为2026年12月31日前。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船舶电池动力推进系统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制造时限：完成销售（交付并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完成合同金额80%以上支付）时间为2026年6月30日前。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产研用融合发展的项目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时限：船舶设计与制造合作合同签订时间为2025年6月30日前，完成销售（交付使用，并完成合同金额80%以上支付）时间为2026年12月31日前。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充电设施建设时限。2025年12月31日前建成并办妥使用交付手续。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（二）产品质量条件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船舶制造、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研发设计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和船舶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电池动力推进系统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须取得中国船级社等海事部门认可的船舶检验机构签发的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检验证书或者技术文件，其中船舶还须取得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中国船级社绿色附加标志。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充电设施须取得经有资质的第三方认证机构依照国家《充电设施安全技术规范》认证检测合格后颁发的充电设备合格证，并办妥交付使用手续。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（三）申报补贴（奖励）时限条件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船舶制造企业、设计单位在船舶制造实现销售后3个月内向本方案规定的政府部门申请入库，具体申报按照本方案规定的政府部门申报通知执行。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电动船舶电池动力推进系统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制造企业位在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电动船舶电池动力推进系统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实现销售后3个月内向本方案规定的政府部门报备，按申报通知实施。</w:t>
      </w:r>
    </w:p>
    <w:p>
      <w:pPr>
        <w:keepNext w:val="0"/>
        <w:keepLines w:val="0"/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船舶产研用融合发展项目、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充电设施运营补贴时限条件以市港务局有关规定为准。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五、主要工作任务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（一）培育电动化船舶制造企业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。动员全市有关制造企业进军电动船舶及其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电池动力推进系统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制造领域，加强电动船舶及其配套产品的开发，拓展全国电动船舶产业市场，促进船舶产业创新发展。负责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我市电动船舶制造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电池动力推进系统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财政资金补贴（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有关工作。（责任单位：市工业和信息化局）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财政资金补贴（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奖励）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有关工作包括细化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申报指南、受理补助申请、组织专家评审、资金拨付、绩效评价等管理工作（下同）。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促进船舶研发设计机构加快发展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。鼓励我市船舶采购企业同船舶建造企业、船舶研发设计机构合作，推动我市研发设计适应市场需求的电动船舶船型，攻关关键技术，加强电动船舶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产研用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融合。其中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我市船舶研发设计机构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电动船舶研发设计财政资金奖励有关工作由市工业和信息化局负责，我市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电动船舶产业产研用融合发展项目的财政资金奖励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有关工作由市港务局负责。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加强产业示范应用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鼓励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广州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船舶运输经营企业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先行先试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，在广州行政辖区范围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打造电动船舶示范应用场景〔包括投资建造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若干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电动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船舶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充电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桩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配套设施〕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重点打造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拖船、珠江夜游船、载客渡船电动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船舶示范应用，加快船舶电动化升级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。负责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对电动船舶充电设施运营的财政资金补贴有关工作</w:t>
      </w:r>
      <w:r>
        <w:rPr>
          <w:rFonts w:hint="eastAsia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（责任单位：市港务局）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（四）强化政务服务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。加大对电动船舶建造的监管服务力度，从船舶立项、建造、使用等环节提供便利政策支持，为电动船舶顺利建造投产提供良好的监管服务条件。鉴于纯电动拖船机舱配置提档升级后，轮机人员工作强度大幅降低，在满足安全需求基础上，争取上级支持，研究优化船员配员相关事宜，降低企业运营成本（责任单位：广州海事局、中国船级社广州分社）。引导金融机构建立适应船舶特点的金融产品和服务（责任单位：市地方金融监管局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六、保障措施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健全组织保障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建立由市工业和信息化局、市科技局、市财政局、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市生态环境局、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市地方金融监管局、市港务局、广州海事局等单位负责人参加的电动船舶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推广应用联席会议制度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统筹协调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推进电动船舶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推广应用和产业发展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协商解决有关重大问题，确保该项工作顺利有效开展；联席会议召集人由市政府副秘书长、一级巡视员，市工业和信息化局党组书记、局长高裕跃同志担任。联席会议办公室设在市工业和信息化局，负责联席会议办公室的日常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（二）创造良好市场环境</w:t>
      </w:r>
      <w:r>
        <w:rPr>
          <w:rFonts w:hint="eastAsia" w:ascii="仿宋_GB2312" w:hAnsi="仿宋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。探索出台进一步保护航运绿色发展政策，积极扩大电动内河船舶增量，优化压减传统燃油动力船舶存量，2026年后原则上禁止在广州市珠江水域新增非零排放客运经营性船舶。优化纯电动船舶运营配套政策，对本试点项目船舶优先办理内河航道通航管理、入籍登记、运营登记等手续。</w:t>
      </w:r>
      <w:r>
        <w:rPr>
          <w:rFonts w:hint="eastAsia" w:ascii="楷体" w:hAnsi="楷体" w:eastAsia="楷体" w:cs="楷体"/>
          <w:b w:val="0"/>
          <w:bCs/>
          <w:color w:val="000000"/>
          <w:kern w:val="2"/>
          <w:sz w:val="32"/>
          <w:szCs w:val="32"/>
          <w:lang w:val="en-US" w:eastAsia="zh-CN" w:bidi="ar-SA"/>
        </w:rPr>
        <w:t>（责任单位：市港务局、市生态环境局、广州海事局）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（三）强化财政资金使用效益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。该方案财政资金不支持已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享受过市级同类财政资金补贴的项目。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申报主体向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本方案规定政府部门申报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u w:val="none"/>
          <w:lang w:val="en-US" w:eastAsia="zh-CN" w:bidi="ar-SA"/>
        </w:rPr>
        <w:t>财政资金支持时应如实、准确、完整说明已享受的和申报中的财政资金支持情况。一旦发现重复享受市级同类财政资金支持现象，申报单位应全部退回该类财政支持资金，并取消申报单位3年申报市工业和信息化局、市港务局财政资金支持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（四）</w:t>
      </w: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fill="FFFFFF"/>
        </w:rPr>
        <w:t>强化责任落实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有关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单位要根据自身职能，提出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各自在此次船舶电动化试点工作中的任务，包括资金保障、政策支持、宣传动员、技术培训、安全监管等，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并加强部门协同，形成工作合力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，工作任务较多的单位要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研究制定具体实施方案，确保各项任务落实到位。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其他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（一）本工作方案自印发之日起施行，有效期至2025年12月31日。有效期满而相关扶持资金应当支付而尚未支付完毕的，应继续执行至全部完毕。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    （二）本方案执行过程中，与国家法律法规和广东省规定有冲突的，以国家法律法规和广东省有关规定为准。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before="0"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（三）本工作方案由市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电动船舶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推广应用联席会议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负责解释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ageBreakBefore w:val="0"/>
        <w:widowControl w:val="0"/>
        <w:kinsoku/>
        <w:wordWrap/>
        <w:overflowPunct w:val="0"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723610"/>
    <w:multiLevelType w:val="singleLevel"/>
    <w:tmpl w:val="FC72361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AAF22D20"/>
    <w:rsid w:val="00610597"/>
    <w:rsid w:val="02083702"/>
    <w:rsid w:val="02D179C5"/>
    <w:rsid w:val="038D05BA"/>
    <w:rsid w:val="04ED07CA"/>
    <w:rsid w:val="054B4EA9"/>
    <w:rsid w:val="0D740A12"/>
    <w:rsid w:val="0DDE61E5"/>
    <w:rsid w:val="0DEFB361"/>
    <w:rsid w:val="0E22015E"/>
    <w:rsid w:val="0E323572"/>
    <w:rsid w:val="0EEF0B27"/>
    <w:rsid w:val="0EFFB733"/>
    <w:rsid w:val="0F7D299E"/>
    <w:rsid w:val="0FF7C447"/>
    <w:rsid w:val="10EA1EE2"/>
    <w:rsid w:val="11D533F1"/>
    <w:rsid w:val="11E06779"/>
    <w:rsid w:val="12521AED"/>
    <w:rsid w:val="1540015E"/>
    <w:rsid w:val="15523CE6"/>
    <w:rsid w:val="16D85A1D"/>
    <w:rsid w:val="17FBB96E"/>
    <w:rsid w:val="184844E0"/>
    <w:rsid w:val="1A72669C"/>
    <w:rsid w:val="1ACF1587"/>
    <w:rsid w:val="1B7DD9A9"/>
    <w:rsid w:val="1BBB4B42"/>
    <w:rsid w:val="1BEA4780"/>
    <w:rsid w:val="1BF766E6"/>
    <w:rsid w:val="1C590A0C"/>
    <w:rsid w:val="1CFFCAEB"/>
    <w:rsid w:val="1D554B87"/>
    <w:rsid w:val="1DA043F3"/>
    <w:rsid w:val="1E916A21"/>
    <w:rsid w:val="1EAB92B3"/>
    <w:rsid w:val="1F1840BF"/>
    <w:rsid w:val="1F87425B"/>
    <w:rsid w:val="1FA6791C"/>
    <w:rsid w:val="1FBFEB17"/>
    <w:rsid w:val="1FF973C3"/>
    <w:rsid w:val="235A6A54"/>
    <w:rsid w:val="24BD10B8"/>
    <w:rsid w:val="25854E1F"/>
    <w:rsid w:val="25DE181F"/>
    <w:rsid w:val="267E3416"/>
    <w:rsid w:val="26EB1EFE"/>
    <w:rsid w:val="27084686"/>
    <w:rsid w:val="27ED6DFF"/>
    <w:rsid w:val="27F7D328"/>
    <w:rsid w:val="27FFE52A"/>
    <w:rsid w:val="289D5E22"/>
    <w:rsid w:val="28F316BF"/>
    <w:rsid w:val="298D5EF6"/>
    <w:rsid w:val="2A0C65CE"/>
    <w:rsid w:val="2A321930"/>
    <w:rsid w:val="2AE416A7"/>
    <w:rsid w:val="2BE98A9D"/>
    <w:rsid w:val="2C5A5D16"/>
    <w:rsid w:val="2DE26170"/>
    <w:rsid w:val="2E3507E9"/>
    <w:rsid w:val="2E7F1BDC"/>
    <w:rsid w:val="2E941D00"/>
    <w:rsid w:val="2EFCA892"/>
    <w:rsid w:val="2F74578F"/>
    <w:rsid w:val="2F9C9FF1"/>
    <w:rsid w:val="2FFB737D"/>
    <w:rsid w:val="2FFDD546"/>
    <w:rsid w:val="2FFFFBDA"/>
    <w:rsid w:val="312A43D2"/>
    <w:rsid w:val="317B32DB"/>
    <w:rsid w:val="31CF3CF6"/>
    <w:rsid w:val="32AD8D54"/>
    <w:rsid w:val="35EF7F83"/>
    <w:rsid w:val="367DF88A"/>
    <w:rsid w:val="36FDCCDF"/>
    <w:rsid w:val="37030562"/>
    <w:rsid w:val="37DD48B7"/>
    <w:rsid w:val="37E2E2B9"/>
    <w:rsid w:val="38DF111D"/>
    <w:rsid w:val="39D51FA8"/>
    <w:rsid w:val="3A37F044"/>
    <w:rsid w:val="3A7D57DE"/>
    <w:rsid w:val="3ACE05DB"/>
    <w:rsid w:val="3B755C9D"/>
    <w:rsid w:val="3BBE69FC"/>
    <w:rsid w:val="3BBFBE5D"/>
    <w:rsid w:val="3BC66850"/>
    <w:rsid w:val="3BD3E712"/>
    <w:rsid w:val="3BEB60C1"/>
    <w:rsid w:val="3C1D2608"/>
    <w:rsid w:val="3D8250CD"/>
    <w:rsid w:val="3DFB6748"/>
    <w:rsid w:val="3E265B44"/>
    <w:rsid w:val="3EF3827A"/>
    <w:rsid w:val="3EFD63FF"/>
    <w:rsid w:val="3EFFE250"/>
    <w:rsid w:val="3F7F56ED"/>
    <w:rsid w:val="3F7F5C85"/>
    <w:rsid w:val="3F7FC1D4"/>
    <w:rsid w:val="3F8503CD"/>
    <w:rsid w:val="3FB22EF2"/>
    <w:rsid w:val="3FBF4478"/>
    <w:rsid w:val="3FBF5029"/>
    <w:rsid w:val="3FE4A33F"/>
    <w:rsid w:val="3FEBE9FF"/>
    <w:rsid w:val="3FEF6856"/>
    <w:rsid w:val="3FEFB818"/>
    <w:rsid w:val="3FFA0A43"/>
    <w:rsid w:val="3FFA9E69"/>
    <w:rsid w:val="3FFB4B0A"/>
    <w:rsid w:val="3FFD5B89"/>
    <w:rsid w:val="3FFF10FD"/>
    <w:rsid w:val="41E850E1"/>
    <w:rsid w:val="462D37C9"/>
    <w:rsid w:val="46AF0563"/>
    <w:rsid w:val="473610FE"/>
    <w:rsid w:val="4B9FB6DF"/>
    <w:rsid w:val="4CFF87AD"/>
    <w:rsid w:val="4D710F44"/>
    <w:rsid w:val="4DBEAAE2"/>
    <w:rsid w:val="4E6A31EF"/>
    <w:rsid w:val="4ED76862"/>
    <w:rsid w:val="4ED8DDD8"/>
    <w:rsid w:val="4EFD9DBF"/>
    <w:rsid w:val="4F379F20"/>
    <w:rsid w:val="4F515DB4"/>
    <w:rsid w:val="4FBF809A"/>
    <w:rsid w:val="4FE8958F"/>
    <w:rsid w:val="4FFF76C7"/>
    <w:rsid w:val="51984CC8"/>
    <w:rsid w:val="53BF4A8C"/>
    <w:rsid w:val="53F355FC"/>
    <w:rsid w:val="561F0FAC"/>
    <w:rsid w:val="562F7B6A"/>
    <w:rsid w:val="56FB5FA7"/>
    <w:rsid w:val="57FB1E63"/>
    <w:rsid w:val="59134455"/>
    <w:rsid w:val="59CA2968"/>
    <w:rsid w:val="5A84202D"/>
    <w:rsid w:val="5AAB1961"/>
    <w:rsid w:val="5AFBD94D"/>
    <w:rsid w:val="5B5D78B9"/>
    <w:rsid w:val="5B9BE141"/>
    <w:rsid w:val="5BC48C2D"/>
    <w:rsid w:val="5BEF34DB"/>
    <w:rsid w:val="5BF7965A"/>
    <w:rsid w:val="5CE33BE1"/>
    <w:rsid w:val="5CEFCDFF"/>
    <w:rsid w:val="5D2F274D"/>
    <w:rsid w:val="5D7FDFE2"/>
    <w:rsid w:val="5DBE332D"/>
    <w:rsid w:val="5E910C01"/>
    <w:rsid w:val="5E9E680D"/>
    <w:rsid w:val="5EAFD03D"/>
    <w:rsid w:val="5EFFB2A2"/>
    <w:rsid w:val="5F02F818"/>
    <w:rsid w:val="5F5B11F2"/>
    <w:rsid w:val="5F7D3511"/>
    <w:rsid w:val="5FCFD6DE"/>
    <w:rsid w:val="5FDF2A0E"/>
    <w:rsid w:val="5FE5BC2F"/>
    <w:rsid w:val="5FF11553"/>
    <w:rsid w:val="61DD4D8E"/>
    <w:rsid w:val="61E7EF69"/>
    <w:rsid w:val="63CFE266"/>
    <w:rsid w:val="658C0AEC"/>
    <w:rsid w:val="65F3D3F7"/>
    <w:rsid w:val="66EF53D4"/>
    <w:rsid w:val="66F4609F"/>
    <w:rsid w:val="67E51EEB"/>
    <w:rsid w:val="67F9324C"/>
    <w:rsid w:val="68442B75"/>
    <w:rsid w:val="69DA7A5C"/>
    <w:rsid w:val="69FB70B0"/>
    <w:rsid w:val="6A4F3D9F"/>
    <w:rsid w:val="6BFFF345"/>
    <w:rsid w:val="6CB09ACD"/>
    <w:rsid w:val="6DEFE491"/>
    <w:rsid w:val="6DFDBF2A"/>
    <w:rsid w:val="6DFF0754"/>
    <w:rsid w:val="6E7F22D9"/>
    <w:rsid w:val="6EC29D79"/>
    <w:rsid w:val="6EDCC1C8"/>
    <w:rsid w:val="6EDF9860"/>
    <w:rsid w:val="6F3F62AF"/>
    <w:rsid w:val="6F9EA781"/>
    <w:rsid w:val="6FBBB8EB"/>
    <w:rsid w:val="6FBE2C90"/>
    <w:rsid w:val="6FD3486B"/>
    <w:rsid w:val="6FDC743C"/>
    <w:rsid w:val="6FDE3FD1"/>
    <w:rsid w:val="6FDF3ADF"/>
    <w:rsid w:val="6FE7A1DF"/>
    <w:rsid w:val="6FF3C659"/>
    <w:rsid w:val="6FFA45B1"/>
    <w:rsid w:val="6FFF1A58"/>
    <w:rsid w:val="716A57AF"/>
    <w:rsid w:val="72F441DB"/>
    <w:rsid w:val="73B61D96"/>
    <w:rsid w:val="744B0D91"/>
    <w:rsid w:val="7457063B"/>
    <w:rsid w:val="745DE82C"/>
    <w:rsid w:val="758B53BF"/>
    <w:rsid w:val="75FE9D6F"/>
    <w:rsid w:val="767E62E5"/>
    <w:rsid w:val="767E9C8A"/>
    <w:rsid w:val="76AC9C5B"/>
    <w:rsid w:val="76BDABAA"/>
    <w:rsid w:val="76BFD5C1"/>
    <w:rsid w:val="76FFE05E"/>
    <w:rsid w:val="77660698"/>
    <w:rsid w:val="776EC4AC"/>
    <w:rsid w:val="777EAD3C"/>
    <w:rsid w:val="77AB5781"/>
    <w:rsid w:val="77B97CD1"/>
    <w:rsid w:val="77BD0BDB"/>
    <w:rsid w:val="77E7F5BF"/>
    <w:rsid w:val="77F3052C"/>
    <w:rsid w:val="77F3816C"/>
    <w:rsid w:val="77FBF06F"/>
    <w:rsid w:val="77FD4A2A"/>
    <w:rsid w:val="77FF0B8F"/>
    <w:rsid w:val="77FFB7BF"/>
    <w:rsid w:val="7953CD3D"/>
    <w:rsid w:val="797D67C0"/>
    <w:rsid w:val="79DBE7A9"/>
    <w:rsid w:val="79EFBCF5"/>
    <w:rsid w:val="79FD8213"/>
    <w:rsid w:val="7B5783F1"/>
    <w:rsid w:val="7B5BF342"/>
    <w:rsid w:val="7B7F9D98"/>
    <w:rsid w:val="7BAEDDDC"/>
    <w:rsid w:val="7BBDA742"/>
    <w:rsid w:val="7BE6722E"/>
    <w:rsid w:val="7BEB3F96"/>
    <w:rsid w:val="7BEDD007"/>
    <w:rsid w:val="7BEF3A59"/>
    <w:rsid w:val="7BF515C0"/>
    <w:rsid w:val="7BF72B14"/>
    <w:rsid w:val="7BF75BFE"/>
    <w:rsid w:val="7BFB625B"/>
    <w:rsid w:val="7BFF1811"/>
    <w:rsid w:val="7BFF2964"/>
    <w:rsid w:val="7BFFA323"/>
    <w:rsid w:val="7BFFDD43"/>
    <w:rsid w:val="7C6B039E"/>
    <w:rsid w:val="7CCF3F41"/>
    <w:rsid w:val="7CEAC769"/>
    <w:rsid w:val="7CF94FAA"/>
    <w:rsid w:val="7CFCBB07"/>
    <w:rsid w:val="7D1F04FA"/>
    <w:rsid w:val="7D2F777E"/>
    <w:rsid w:val="7D470E94"/>
    <w:rsid w:val="7D7E0F96"/>
    <w:rsid w:val="7DC58AE4"/>
    <w:rsid w:val="7DD96094"/>
    <w:rsid w:val="7DEADDD1"/>
    <w:rsid w:val="7DF8FACF"/>
    <w:rsid w:val="7DFE2440"/>
    <w:rsid w:val="7DFFE4DA"/>
    <w:rsid w:val="7E3722C3"/>
    <w:rsid w:val="7E5B5C2B"/>
    <w:rsid w:val="7E6DF2FE"/>
    <w:rsid w:val="7E6FDAB2"/>
    <w:rsid w:val="7E7B52D1"/>
    <w:rsid w:val="7E7F8515"/>
    <w:rsid w:val="7E9BDACA"/>
    <w:rsid w:val="7EBB7AC1"/>
    <w:rsid w:val="7ECCC6E5"/>
    <w:rsid w:val="7EDF9900"/>
    <w:rsid w:val="7EDFB541"/>
    <w:rsid w:val="7EEB32AC"/>
    <w:rsid w:val="7EED0D90"/>
    <w:rsid w:val="7EEEC303"/>
    <w:rsid w:val="7F1D7901"/>
    <w:rsid w:val="7F30461E"/>
    <w:rsid w:val="7F370A65"/>
    <w:rsid w:val="7F3DC864"/>
    <w:rsid w:val="7F69D55F"/>
    <w:rsid w:val="7F79C32B"/>
    <w:rsid w:val="7F7DD3E0"/>
    <w:rsid w:val="7F7EE647"/>
    <w:rsid w:val="7FA78405"/>
    <w:rsid w:val="7FAF411A"/>
    <w:rsid w:val="7FBF0A25"/>
    <w:rsid w:val="7FBF8779"/>
    <w:rsid w:val="7FDDC974"/>
    <w:rsid w:val="7FDF968B"/>
    <w:rsid w:val="7FE3321B"/>
    <w:rsid w:val="7FE5EDD3"/>
    <w:rsid w:val="7FE7A1CF"/>
    <w:rsid w:val="7FEF57B1"/>
    <w:rsid w:val="7FF323BE"/>
    <w:rsid w:val="7FF32898"/>
    <w:rsid w:val="7FF62D91"/>
    <w:rsid w:val="7FF7DEDC"/>
    <w:rsid w:val="7FFAFF4C"/>
    <w:rsid w:val="7FFB2246"/>
    <w:rsid w:val="7FFD8544"/>
    <w:rsid w:val="7FFDA149"/>
    <w:rsid w:val="7FFDC73A"/>
    <w:rsid w:val="7FFEA0C2"/>
    <w:rsid w:val="7FFF0103"/>
    <w:rsid w:val="7FFF377B"/>
    <w:rsid w:val="7FFF8914"/>
    <w:rsid w:val="7FFFAFD7"/>
    <w:rsid w:val="7FFFB1FE"/>
    <w:rsid w:val="7FFFEB6C"/>
    <w:rsid w:val="89E75DFC"/>
    <w:rsid w:val="8E7EDDBE"/>
    <w:rsid w:val="9B5D7AEB"/>
    <w:rsid w:val="9B5FC224"/>
    <w:rsid w:val="9BF78574"/>
    <w:rsid w:val="9CDC4075"/>
    <w:rsid w:val="9D6D5F46"/>
    <w:rsid w:val="9DF75649"/>
    <w:rsid w:val="9E9EFA8D"/>
    <w:rsid w:val="9EA721B9"/>
    <w:rsid w:val="9EF9AADF"/>
    <w:rsid w:val="9EFFC78F"/>
    <w:rsid w:val="9FDE4CEC"/>
    <w:rsid w:val="A73F0119"/>
    <w:rsid w:val="A7ABF1D8"/>
    <w:rsid w:val="A7BB949A"/>
    <w:rsid w:val="A7D7C7C7"/>
    <w:rsid w:val="A7F7A805"/>
    <w:rsid w:val="AA370C2A"/>
    <w:rsid w:val="AAF22D20"/>
    <w:rsid w:val="AB7F88B9"/>
    <w:rsid w:val="ABE7A587"/>
    <w:rsid w:val="ABF1C924"/>
    <w:rsid w:val="ADFF8461"/>
    <w:rsid w:val="AEE5236B"/>
    <w:rsid w:val="AF6F45CA"/>
    <w:rsid w:val="AF771E1C"/>
    <w:rsid w:val="AFF75107"/>
    <w:rsid w:val="AFFEA27B"/>
    <w:rsid w:val="AFFFEC91"/>
    <w:rsid w:val="B4DF0A28"/>
    <w:rsid w:val="B6F577F7"/>
    <w:rsid w:val="B73E5356"/>
    <w:rsid w:val="B77E43BE"/>
    <w:rsid w:val="B7F61A2E"/>
    <w:rsid w:val="B7FF4984"/>
    <w:rsid w:val="B7FF7D78"/>
    <w:rsid w:val="BB517CAB"/>
    <w:rsid w:val="BBBEF769"/>
    <w:rsid w:val="BBBF1A1F"/>
    <w:rsid w:val="BCBF1B58"/>
    <w:rsid w:val="BD6EB6DA"/>
    <w:rsid w:val="BDFE6C2F"/>
    <w:rsid w:val="BDFEE931"/>
    <w:rsid w:val="BE43B6C3"/>
    <w:rsid w:val="BEF687B5"/>
    <w:rsid w:val="BF3EB52C"/>
    <w:rsid w:val="BFAF3FD0"/>
    <w:rsid w:val="BFB538C4"/>
    <w:rsid w:val="BFBF0371"/>
    <w:rsid w:val="BFDBB4D8"/>
    <w:rsid w:val="BFEA62F6"/>
    <w:rsid w:val="BFFADF5C"/>
    <w:rsid w:val="BFFB5753"/>
    <w:rsid w:val="BFFF2A06"/>
    <w:rsid w:val="BFFF8383"/>
    <w:rsid w:val="C7F77A3F"/>
    <w:rsid w:val="C970E399"/>
    <w:rsid w:val="C97F28A9"/>
    <w:rsid w:val="CB1F03DD"/>
    <w:rsid w:val="CB7FA435"/>
    <w:rsid w:val="D3F742F1"/>
    <w:rsid w:val="D4F32DC2"/>
    <w:rsid w:val="D673E8A1"/>
    <w:rsid w:val="D6BFE5AE"/>
    <w:rsid w:val="D6FD3B0F"/>
    <w:rsid w:val="D7DD3263"/>
    <w:rsid w:val="D7DFD654"/>
    <w:rsid w:val="D7FFF7BB"/>
    <w:rsid w:val="DA7E1EDE"/>
    <w:rsid w:val="DB5FFB64"/>
    <w:rsid w:val="DBAFC294"/>
    <w:rsid w:val="DBC7596B"/>
    <w:rsid w:val="DBD7BAD0"/>
    <w:rsid w:val="DC55C6C8"/>
    <w:rsid w:val="DCFF6044"/>
    <w:rsid w:val="DDFB2F42"/>
    <w:rsid w:val="DE5CADA8"/>
    <w:rsid w:val="DE7F1D15"/>
    <w:rsid w:val="DE9F6B1B"/>
    <w:rsid w:val="DEAB140D"/>
    <w:rsid w:val="DEE93EB8"/>
    <w:rsid w:val="DEFEB647"/>
    <w:rsid w:val="DEFEF3F7"/>
    <w:rsid w:val="DFBFE839"/>
    <w:rsid w:val="DFDE16CA"/>
    <w:rsid w:val="DFEF5BD4"/>
    <w:rsid w:val="DFF55BD0"/>
    <w:rsid w:val="DFFAEC2E"/>
    <w:rsid w:val="DFFBACFF"/>
    <w:rsid w:val="DFFC1073"/>
    <w:rsid w:val="E1EF7441"/>
    <w:rsid w:val="E3FFE042"/>
    <w:rsid w:val="E767444F"/>
    <w:rsid w:val="E7DB8696"/>
    <w:rsid w:val="E7FD96C5"/>
    <w:rsid w:val="E9EEFC0F"/>
    <w:rsid w:val="E9F716F0"/>
    <w:rsid w:val="EB4B2467"/>
    <w:rsid w:val="ECE8E24E"/>
    <w:rsid w:val="ECFDBECB"/>
    <w:rsid w:val="EDE1A1E6"/>
    <w:rsid w:val="EE87A460"/>
    <w:rsid w:val="EEB79493"/>
    <w:rsid w:val="EEE6F259"/>
    <w:rsid w:val="EEEF4BB0"/>
    <w:rsid w:val="EF6D6262"/>
    <w:rsid w:val="EFAFD3B1"/>
    <w:rsid w:val="EFEF5EE0"/>
    <w:rsid w:val="EFF6D072"/>
    <w:rsid w:val="EFF9AD4A"/>
    <w:rsid w:val="EFFFEB12"/>
    <w:rsid w:val="F1DB674D"/>
    <w:rsid w:val="F2ADBAD9"/>
    <w:rsid w:val="F33DEFB8"/>
    <w:rsid w:val="F38D895D"/>
    <w:rsid w:val="F4BB15BF"/>
    <w:rsid w:val="F5772689"/>
    <w:rsid w:val="F57F2BC0"/>
    <w:rsid w:val="F5F6B738"/>
    <w:rsid w:val="F6B78B0F"/>
    <w:rsid w:val="F6CD255E"/>
    <w:rsid w:val="F6DF05D8"/>
    <w:rsid w:val="F6E780AA"/>
    <w:rsid w:val="F6FD1DDC"/>
    <w:rsid w:val="F71FE281"/>
    <w:rsid w:val="F74CD34D"/>
    <w:rsid w:val="F75E66E1"/>
    <w:rsid w:val="F77797D8"/>
    <w:rsid w:val="F77B7FEB"/>
    <w:rsid w:val="F7F6CA08"/>
    <w:rsid w:val="F7FB7E85"/>
    <w:rsid w:val="F7FCBBA1"/>
    <w:rsid w:val="F87A6F18"/>
    <w:rsid w:val="F8FBDF87"/>
    <w:rsid w:val="F8FCAAC1"/>
    <w:rsid w:val="F977E9A4"/>
    <w:rsid w:val="F97D1595"/>
    <w:rsid w:val="F9DC562B"/>
    <w:rsid w:val="F9DF0615"/>
    <w:rsid w:val="FA7FA35B"/>
    <w:rsid w:val="FABE3838"/>
    <w:rsid w:val="FABFC505"/>
    <w:rsid w:val="FAF9AEE4"/>
    <w:rsid w:val="FB394D8E"/>
    <w:rsid w:val="FB3EF889"/>
    <w:rsid w:val="FB6DE722"/>
    <w:rsid w:val="FB6E4AD1"/>
    <w:rsid w:val="FB9AC70D"/>
    <w:rsid w:val="FBBD2F42"/>
    <w:rsid w:val="FBBF2A03"/>
    <w:rsid w:val="FBDBCF87"/>
    <w:rsid w:val="FBF30C69"/>
    <w:rsid w:val="FBFE6B4F"/>
    <w:rsid w:val="FCB7B1B3"/>
    <w:rsid w:val="FD67F4E9"/>
    <w:rsid w:val="FD7FA06E"/>
    <w:rsid w:val="FD7FE825"/>
    <w:rsid w:val="FD9DC6E9"/>
    <w:rsid w:val="FDAF3E8A"/>
    <w:rsid w:val="FDB4F29A"/>
    <w:rsid w:val="FDBB177B"/>
    <w:rsid w:val="FDC70447"/>
    <w:rsid w:val="FDE9C5CC"/>
    <w:rsid w:val="FDF7C91B"/>
    <w:rsid w:val="FDF9E7AD"/>
    <w:rsid w:val="FDFE02FF"/>
    <w:rsid w:val="FDFF3878"/>
    <w:rsid w:val="FDFF6683"/>
    <w:rsid w:val="FE2F9CCE"/>
    <w:rsid w:val="FE372717"/>
    <w:rsid w:val="FE7B471C"/>
    <w:rsid w:val="FEBF9E84"/>
    <w:rsid w:val="FECD0E26"/>
    <w:rsid w:val="FEDBF324"/>
    <w:rsid w:val="FEDF1183"/>
    <w:rsid w:val="FEEB1A69"/>
    <w:rsid w:val="FEF755A2"/>
    <w:rsid w:val="FEFA67E9"/>
    <w:rsid w:val="FEFD62A1"/>
    <w:rsid w:val="FEFF7EC1"/>
    <w:rsid w:val="FF59B200"/>
    <w:rsid w:val="FF5B8364"/>
    <w:rsid w:val="FF5F506F"/>
    <w:rsid w:val="FF5F5BAA"/>
    <w:rsid w:val="FF6F71DA"/>
    <w:rsid w:val="FF77CD48"/>
    <w:rsid w:val="FF7E39C5"/>
    <w:rsid w:val="FF7F23E0"/>
    <w:rsid w:val="FF7FBB8A"/>
    <w:rsid w:val="FF9ECA6F"/>
    <w:rsid w:val="FFA5DD3F"/>
    <w:rsid w:val="FFB63614"/>
    <w:rsid w:val="FFBD469D"/>
    <w:rsid w:val="FFBE717F"/>
    <w:rsid w:val="FFC275B1"/>
    <w:rsid w:val="FFD3AE0C"/>
    <w:rsid w:val="FFDBB052"/>
    <w:rsid w:val="FFDF20F1"/>
    <w:rsid w:val="FFE3A021"/>
    <w:rsid w:val="FFEBA5AA"/>
    <w:rsid w:val="FFEDDF52"/>
    <w:rsid w:val="FFEEF801"/>
    <w:rsid w:val="FFEF2198"/>
    <w:rsid w:val="FFF65ABF"/>
    <w:rsid w:val="FFF6C770"/>
    <w:rsid w:val="FFF767CA"/>
    <w:rsid w:val="FFFA0706"/>
    <w:rsid w:val="FFFB5563"/>
    <w:rsid w:val="FFFE157C"/>
    <w:rsid w:val="FFFE80CE"/>
    <w:rsid w:val="FFFF629B"/>
    <w:rsid w:val="FFFF78A8"/>
    <w:rsid w:val="FFFF8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3083</Words>
  <Characters>3158</Characters>
  <Lines>0</Lines>
  <Paragraphs>0</Paragraphs>
  <TotalTime>6</TotalTime>
  <ScaleCrop>false</ScaleCrop>
  <LinksUpToDate>false</LinksUpToDate>
  <CharactersWithSpaces>3168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2023-08-01T02:43:00Z</dcterms:created>
  <dc:creator>张军明</dc:creator>
  <cp:lastModifiedBy>yangl</cp:lastModifiedBy>
  <dcterms:modified xsi:type="dcterms:W3CDTF">2023-10-27T06:55:09Z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4A65A6290ACD41FDB068ECB53BE0B832_13</vt:lpwstr>
  </property>
</Properties>
</file>