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《广州市数字经济发展规划》编制说明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bidi w:val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为深入贯彻党中央、国务院关于发展数字经济的决策部署，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市委市政府工作部署，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高质量推动广州数字经济创新引领型城市建设，根据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《数字中国建设整体布局规划》《“十四五”数字经济发展规划》《广州市国民经济和社会发展第十四个五年规划和2035年远景目标纲要》《广州市数字经济促进条例》等文件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精神与要求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，结合广州实际，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起草了《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《规划》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基准期为2022年，规划期为2023年至2025年，远期展望到2035年。</w:t>
      </w:r>
    </w:p>
    <w:p>
      <w:pPr>
        <w:pStyle w:val="3"/>
        <w:bidi w:val="0"/>
        <w:ind w:firstLine="880"/>
        <w:rPr>
          <w:rFonts w:hint="eastAsia" w:ascii="Times New Roman" w:hAnsi="Times New Roman"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《规划》共分为九章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三十一节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，主要内容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包含发展基础、发展形势、总体要求、产业布局、数字技术创新、数字基础设施、数字产业化、产业数字化、数智治理、数据要素市场化、开放合作、保障措施等方面：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发展环境。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本章主要对数字经济发展情况进行梳理，总结我市数字经济领域“十三五”时期主要成就和存在问题，分析了当前发展环境和面临形势，为《规划》布局谋篇奠定基础。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总体要求。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章提出编制《规划》的指导思想、基本原则和发展目标。在拟定发展目标时，《规划》注意与《广州市国民经济和社会发展第十四个五年规划和2035年远景目标纲要》《广州市工业和信息化发展“十四五”规划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等规划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衔接，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并立足广州实际，提出围绕“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皆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可定制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皆可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”的发展愿景，“加快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数字广州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，打造定制之都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羊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广州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数字经济核心产业增加值占地区生产总值比重达到15%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数产融合的全球标杆城市和具有全球影响力的数字经济引领型城市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的基础逐步夯实的工作目标。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数字技术与实体经济在更大范围、更深层次、更高水平上全面融合，以“数智孪生”城市赋能经济社会高质量发展，全球数字化辐射能级大幅跃升，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建成世界领先的数字经济引领型城市和数产融合的全球标杆城市。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 优化数字经济空间布局。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本章主要通过构建“一核引领、多点支撑”的数字经济战略新格局，统筹各区域协同发展，以产业集聚发展为基础，高水平建设重点功能区，明确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比较优势和特色，促进全市“一盘棋”发展，打造数字经济创新源和增长极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，引领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广州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高质量发展。</w:t>
      </w:r>
    </w:p>
    <w:p>
      <w:pPr>
        <w:spacing w:beforeLines="0" w:afterLines="0" w:line="600" w:lineRule="exact"/>
        <w:ind w:firstLine="642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 提升数字底座支撑能力。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本章主要阐述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我市将对接数字中国、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网络强国、“东数西算”等战略工程，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建设新型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数字基础设施，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传统基础设施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数字化改造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促进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云网协同和算网融合发展，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5G、千兆光网、工业互联网等为代表的数字基础网络能力，构建以智算中心、超算中心为代表的城市算力枢纽体系，改造升级能源互联网、城市地下设施、车路协同等传统基础设施，提升城市运行管理数字化能力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夯实数字经济发展底座。</w:t>
      </w:r>
    </w:p>
    <w:p>
      <w:pPr>
        <w:spacing w:beforeLines="0" w:afterLines="0" w:line="600" w:lineRule="exact"/>
        <w:ind w:firstLine="642" w:firstLineChars="200"/>
        <w:rPr>
          <w:rFonts w:ascii="Times New Roman" w:hAnsi="Times New Roman" w:cs="Times New Roman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第五章 激发数字产业发展活力。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章主要阐述增强数字技术创新能力，壮大软件和信息技术服务、超高清视频及新型显示、半导体和集成电路、智能设备制造、数字文化创意等核心产业规模，提升人工智能与大数据、物联网与车联网、区块链、元宇宙等新兴领域产业能级，繁荣发展平台经济、共享经济、智能经济和新个体经济等新业态新模式，带动实体经济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第六章 释放产业数字化潜力。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本章主要阐述推动数字经济与实体经济深度融合，全方位、全角度、全链条赋能传统优势产业，立足于不同领域发展特点，推进制造业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现代商贸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建筑业数字化水平，支持创新发展数字金融，高水平建设数字化物流体系，高效发展数字农业。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第七章 提升数智治理能力。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本章主要提出建立与数字经济相适应治理模式，通过提升城市数字化治理水平、推动公共服务提质增效、释放数据要素市场潜能、提升数字安全防护水平等措施，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数字经济可持续健康发展。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第八章 凝聚数字生态合力。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本章主要提出发挥国家中心城市优势，通过营造开放包容发展环境、加强国际国内数字合作、激发社会力量参与广州数字经济发展等举措，开创数字经济高质量发展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第九章 保障措施。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本章提出保障《规划》实施的具体措施，包括强化统筹协调、加强政策保障、做好监测评估、提升数字素养等内容，促进规划重点任务举措的顺利推进，进一步加强规划实操性。</w:t>
      </w:r>
    </w:p>
    <w:p>
      <w:pPr>
        <w:pStyle w:val="3"/>
        <w:bidi w:val="0"/>
        <w:ind w:firstLine="880"/>
        <w:rPr>
          <w:rFonts w:hint="eastAsia" w:ascii="Times New Roman" w:hAnsi="Times New Roman"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  <w:t>、主要特点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提出“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加快数字广州建设，打造定制之都、智算羊城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”的发展目标。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根据我市产业发展特色，提出围绕“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皆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可定制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皆可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”的发展愿景，加快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数字广州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，打造定制之都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羊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的目标。到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广州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数字经济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规模和质量迈上新台阶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，数字经济核心产业增加值占地区生产总值比重达到15%，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形成一体协同的空间布局、泛在互联的数字底座、融合创新的数字产业、稳健精细的治理能力、共建共享的数字生态。</w:t>
      </w:r>
    </w:p>
    <w:p>
      <w:pPr>
        <w:spacing w:beforeLines="0" w:afterLines="0" w:line="600" w:lineRule="exact"/>
        <w:ind w:firstLine="642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突出制造业数字化转型。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规划》积极落实市委市政府关于“产业第一、制造业立市”的工作部署，大力实施“四化平台”赋能产业、服务企业专项行动，以数字化转型、网络化协同、智能化改造、绿色化提升为路径，推动新一轮工业企业技术改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围绕汽车、电子信息、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消费工业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重点产业集群，组织开展面向规模以上制造业企业的数字化转型需求评估诊断，一企一策推动行业龙头骨干企业集成应用创新，一行一策推动中小型制造企业数字化普及应用，一园一策推动产业集聚区数字化转型，一链一策推动产业链供应链数字化升级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）强化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数产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融合创新发展优势。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市数字经济应用场景丰富，数字政府、商贸、物流、交通、教育、医疗为市民提供了良好的体验，《规划》在此基础上，提出加快推动生产性服务业和生活性服务业的发展，拓展数产融合领域的广度和深度，为人民群众享受数字经济发展成果、提升数字化生活品质夯实基础。</w:t>
      </w:r>
    </w:p>
    <w:p>
      <w:pPr>
        <w:spacing w:line="577" w:lineRule="exact"/>
        <w:ind w:firstLine="642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eastAsia="楷体_GB2312"/>
          <w:b/>
          <w:sz w:val="32"/>
          <w:szCs w:val="32"/>
          <w:lang w:eastAsia="zh-CN"/>
        </w:rPr>
        <w:t>探索数据价值化路径。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充分发挥我市海量数据、广阔市场空间优势，在安全可控前提下，以公共数据整合治理、开放共享为着力点，推动多元数据融合利用、交易流通。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围绕数据采集、存储、加工、交易、传输的全链条，推动多元数据融合利用、产业数据流通交易与价值实现，激发数据要素市场活力。</w:t>
      </w:r>
    </w:p>
    <w:p>
      <w:pPr>
        <w:pStyle w:val="3"/>
        <w:bidi w:val="0"/>
        <w:ind w:firstLine="880"/>
        <w:rPr>
          <w:rFonts w:hint="eastAsia" w:ascii="Times New Roman" w:hAnsi="Times New Roman" w:eastAsia="黑体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黑体"/>
          <w:b w:val="0"/>
          <w:color w:val="000000" w:themeColor="text1"/>
          <w14:textFill>
            <w14:solidFill>
              <w14:schemeClr w14:val="tx1"/>
            </w14:solidFill>
          </w14:textFill>
        </w:rPr>
        <w:t>、编制过程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（一）桌面研究。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一是收集了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50多个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市、区有关单位在数字经济方面的材料，并进行深入研究。二是收集了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近百篇国内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各省份、各城市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数字经济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政策，并进行分析比较，参考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借鉴意义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广州产业数字化和数字化现状，明晰广州数字经济发展的优势和不足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。四是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系统梳理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5千多条园区及项目清单数据，对数字经济核心企业数据进行了分析，形成产业地图。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（二）调研工作。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先后开展了17场次市直部门、各区、各行业重点企业的调研座谈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，组织召开了5次专家咨询会、行业研讨会，了解行业、企业数字化情况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（三）意见征求。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2023年3月，《规划》充分征求市直部门、各区的意见，共收到反馈意见46条，均与有关单位进行沟通协调后修改完善，并达成一致意见，形成目前的《规划》（送审稿）。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3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kMDUyMzU2MmYwMGVjMmE2MDE0ODJmNDNjNzQ1ODMifQ=="/>
  </w:docVars>
  <w:rsids>
    <w:rsidRoot w:val="00524D32"/>
    <w:rsid w:val="00001233"/>
    <w:rsid w:val="0000124B"/>
    <w:rsid w:val="0000434C"/>
    <w:rsid w:val="000049F3"/>
    <w:rsid w:val="00004D0A"/>
    <w:rsid w:val="00005299"/>
    <w:rsid w:val="00005520"/>
    <w:rsid w:val="00006975"/>
    <w:rsid w:val="00010DC9"/>
    <w:rsid w:val="0001310B"/>
    <w:rsid w:val="000151A2"/>
    <w:rsid w:val="00016078"/>
    <w:rsid w:val="00016CA0"/>
    <w:rsid w:val="000173EE"/>
    <w:rsid w:val="0002012E"/>
    <w:rsid w:val="00020A05"/>
    <w:rsid w:val="00022260"/>
    <w:rsid w:val="00022E4F"/>
    <w:rsid w:val="000230B1"/>
    <w:rsid w:val="00024069"/>
    <w:rsid w:val="00025384"/>
    <w:rsid w:val="00036CDD"/>
    <w:rsid w:val="000379E1"/>
    <w:rsid w:val="0004493B"/>
    <w:rsid w:val="0005114F"/>
    <w:rsid w:val="00053D7A"/>
    <w:rsid w:val="00055593"/>
    <w:rsid w:val="00060455"/>
    <w:rsid w:val="00061A9E"/>
    <w:rsid w:val="000726D2"/>
    <w:rsid w:val="00073447"/>
    <w:rsid w:val="000736EB"/>
    <w:rsid w:val="00076CDF"/>
    <w:rsid w:val="0007701B"/>
    <w:rsid w:val="00077DAA"/>
    <w:rsid w:val="000909D6"/>
    <w:rsid w:val="0009286D"/>
    <w:rsid w:val="000940A4"/>
    <w:rsid w:val="00095E17"/>
    <w:rsid w:val="00097E49"/>
    <w:rsid w:val="000A100A"/>
    <w:rsid w:val="000A1657"/>
    <w:rsid w:val="000A24B2"/>
    <w:rsid w:val="000A3D44"/>
    <w:rsid w:val="000A7451"/>
    <w:rsid w:val="000B1D43"/>
    <w:rsid w:val="000B455C"/>
    <w:rsid w:val="000B7178"/>
    <w:rsid w:val="000C0BC3"/>
    <w:rsid w:val="000C16CB"/>
    <w:rsid w:val="000C20CC"/>
    <w:rsid w:val="000C3338"/>
    <w:rsid w:val="000C3F64"/>
    <w:rsid w:val="000C712B"/>
    <w:rsid w:val="000D01C2"/>
    <w:rsid w:val="000D19FA"/>
    <w:rsid w:val="000D2AA4"/>
    <w:rsid w:val="000D55DE"/>
    <w:rsid w:val="000D57FC"/>
    <w:rsid w:val="000D6C94"/>
    <w:rsid w:val="000E0841"/>
    <w:rsid w:val="000E4BDD"/>
    <w:rsid w:val="000F22C3"/>
    <w:rsid w:val="000F23FC"/>
    <w:rsid w:val="000F48BC"/>
    <w:rsid w:val="000F6FA9"/>
    <w:rsid w:val="000F7897"/>
    <w:rsid w:val="00102D86"/>
    <w:rsid w:val="0010305C"/>
    <w:rsid w:val="001066E0"/>
    <w:rsid w:val="00106B46"/>
    <w:rsid w:val="00106FFD"/>
    <w:rsid w:val="001121A0"/>
    <w:rsid w:val="00114012"/>
    <w:rsid w:val="00114124"/>
    <w:rsid w:val="00114BE3"/>
    <w:rsid w:val="00115163"/>
    <w:rsid w:val="001152B8"/>
    <w:rsid w:val="001157A7"/>
    <w:rsid w:val="00116EFB"/>
    <w:rsid w:val="00117995"/>
    <w:rsid w:val="00120031"/>
    <w:rsid w:val="00121B3B"/>
    <w:rsid w:val="00121FC7"/>
    <w:rsid w:val="00122348"/>
    <w:rsid w:val="001251AD"/>
    <w:rsid w:val="001304EA"/>
    <w:rsid w:val="001343F7"/>
    <w:rsid w:val="001349C6"/>
    <w:rsid w:val="00143622"/>
    <w:rsid w:val="0015065D"/>
    <w:rsid w:val="00150705"/>
    <w:rsid w:val="0015558A"/>
    <w:rsid w:val="0016463B"/>
    <w:rsid w:val="00174D74"/>
    <w:rsid w:val="001759A9"/>
    <w:rsid w:val="001759D2"/>
    <w:rsid w:val="001809B6"/>
    <w:rsid w:val="00180A3F"/>
    <w:rsid w:val="00182D6B"/>
    <w:rsid w:val="001856C7"/>
    <w:rsid w:val="0018765F"/>
    <w:rsid w:val="00190462"/>
    <w:rsid w:val="00190E2C"/>
    <w:rsid w:val="00191F9C"/>
    <w:rsid w:val="00194110"/>
    <w:rsid w:val="00195DA7"/>
    <w:rsid w:val="00196628"/>
    <w:rsid w:val="00197D3E"/>
    <w:rsid w:val="001A0014"/>
    <w:rsid w:val="001A360A"/>
    <w:rsid w:val="001A3EFE"/>
    <w:rsid w:val="001A7F3A"/>
    <w:rsid w:val="001B22F3"/>
    <w:rsid w:val="001B3373"/>
    <w:rsid w:val="001B6117"/>
    <w:rsid w:val="001C2FF9"/>
    <w:rsid w:val="001C6E0B"/>
    <w:rsid w:val="001D0679"/>
    <w:rsid w:val="001D4028"/>
    <w:rsid w:val="001E3AC7"/>
    <w:rsid w:val="001E6F85"/>
    <w:rsid w:val="001E7A79"/>
    <w:rsid w:val="001F0AB2"/>
    <w:rsid w:val="001F1329"/>
    <w:rsid w:val="001F55BB"/>
    <w:rsid w:val="0020080B"/>
    <w:rsid w:val="0020228D"/>
    <w:rsid w:val="00202D5F"/>
    <w:rsid w:val="00205CA8"/>
    <w:rsid w:val="00211FDE"/>
    <w:rsid w:val="0021241E"/>
    <w:rsid w:val="002127F1"/>
    <w:rsid w:val="00215E0E"/>
    <w:rsid w:val="00222736"/>
    <w:rsid w:val="00231F77"/>
    <w:rsid w:val="00233184"/>
    <w:rsid w:val="00234204"/>
    <w:rsid w:val="00236729"/>
    <w:rsid w:val="00237B2E"/>
    <w:rsid w:val="00242D1D"/>
    <w:rsid w:val="002445E3"/>
    <w:rsid w:val="0024579D"/>
    <w:rsid w:val="002467CF"/>
    <w:rsid w:val="00246F5C"/>
    <w:rsid w:val="00252CCA"/>
    <w:rsid w:val="00254910"/>
    <w:rsid w:val="00257F6B"/>
    <w:rsid w:val="002668CA"/>
    <w:rsid w:val="00275ED4"/>
    <w:rsid w:val="00276CAF"/>
    <w:rsid w:val="00283EE8"/>
    <w:rsid w:val="002854AD"/>
    <w:rsid w:val="00286CF7"/>
    <w:rsid w:val="00287A41"/>
    <w:rsid w:val="0029316C"/>
    <w:rsid w:val="00293D35"/>
    <w:rsid w:val="00295E16"/>
    <w:rsid w:val="00295ED4"/>
    <w:rsid w:val="00297CB4"/>
    <w:rsid w:val="002A15D5"/>
    <w:rsid w:val="002A39DD"/>
    <w:rsid w:val="002B0E37"/>
    <w:rsid w:val="002B3CE6"/>
    <w:rsid w:val="002B644B"/>
    <w:rsid w:val="002C273F"/>
    <w:rsid w:val="002C3696"/>
    <w:rsid w:val="002E0165"/>
    <w:rsid w:val="002E47BA"/>
    <w:rsid w:val="002F1861"/>
    <w:rsid w:val="002F7BA8"/>
    <w:rsid w:val="00301612"/>
    <w:rsid w:val="00301BD1"/>
    <w:rsid w:val="00303EE5"/>
    <w:rsid w:val="00307A32"/>
    <w:rsid w:val="003108E0"/>
    <w:rsid w:val="00311863"/>
    <w:rsid w:val="00313F6C"/>
    <w:rsid w:val="00315B33"/>
    <w:rsid w:val="00316377"/>
    <w:rsid w:val="003205ED"/>
    <w:rsid w:val="003226CC"/>
    <w:rsid w:val="00323E59"/>
    <w:rsid w:val="0032673F"/>
    <w:rsid w:val="00330BD2"/>
    <w:rsid w:val="00331317"/>
    <w:rsid w:val="003323AC"/>
    <w:rsid w:val="00335711"/>
    <w:rsid w:val="003358BD"/>
    <w:rsid w:val="00336373"/>
    <w:rsid w:val="00341E83"/>
    <w:rsid w:val="003455A6"/>
    <w:rsid w:val="003474E8"/>
    <w:rsid w:val="0035459D"/>
    <w:rsid w:val="00356D2F"/>
    <w:rsid w:val="00357981"/>
    <w:rsid w:val="00364AA2"/>
    <w:rsid w:val="00364C5C"/>
    <w:rsid w:val="00365AF1"/>
    <w:rsid w:val="00366EFA"/>
    <w:rsid w:val="003676F4"/>
    <w:rsid w:val="0037416E"/>
    <w:rsid w:val="003765B4"/>
    <w:rsid w:val="00381CA2"/>
    <w:rsid w:val="00391AA4"/>
    <w:rsid w:val="00392078"/>
    <w:rsid w:val="00392D5A"/>
    <w:rsid w:val="0039607D"/>
    <w:rsid w:val="003A01BD"/>
    <w:rsid w:val="003A7F35"/>
    <w:rsid w:val="003B0663"/>
    <w:rsid w:val="003B6E70"/>
    <w:rsid w:val="003C61FA"/>
    <w:rsid w:val="003D14D8"/>
    <w:rsid w:val="003D297C"/>
    <w:rsid w:val="003D2D5F"/>
    <w:rsid w:val="003E0C7C"/>
    <w:rsid w:val="003E31C1"/>
    <w:rsid w:val="003E791A"/>
    <w:rsid w:val="003F1662"/>
    <w:rsid w:val="003F4CD6"/>
    <w:rsid w:val="00400E0B"/>
    <w:rsid w:val="004060B9"/>
    <w:rsid w:val="0040619B"/>
    <w:rsid w:val="0040724A"/>
    <w:rsid w:val="00410CD8"/>
    <w:rsid w:val="00415082"/>
    <w:rsid w:val="004166F5"/>
    <w:rsid w:val="004208F6"/>
    <w:rsid w:val="0042166D"/>
    <w:rsid w:val="00423695"/>
    <w:rsid w:val="00424571"/>
    <w:rsid w:val="00424598"/>
    <w:rsid w:val="00425BB5"/>
    <w:rsid w:val="00425DC5"/>
    <w:rsid w:val="004270AA"/>
    <w:rsid w:val="0043176B"/>
    <w:rsid w:val="00431F6D"/>
    <w:rsid w:val="00433798"/>
    <w:rsid w:val="00433BBC"/>
    <w:rsid w:val="00434AFA"/>
    <w:rsid w:val="004447FD"/>
    <w:rsid w:val="00456F0E"/>
    <w:rsid w:val="0045718D"/>
    <w:rsid w:val="0046149F"/>
    <w:rsid w:val="00461F41"/>
    <w:rsid w:val="00464FFB"/>
    <w:rsid w:val="0046730A"/>
    <w:rsid w:val="004723B3"/>
    <w:rsid w:val="0047424D"/>
    <w:rsid w:val="004744E5"/>
    <w:rsid w:val="004757F5"/>
    <w:rsid w:val="00480DE5"/>
    <w:rsid w:val="00482F26"/>
    <w:rsid w:val="004831DC"/>
    <w:rsid w:val="00485431"/>
    <w:rsid w:val="004916DD"/>
    <w:rsid w:val="004920E2"/>
    <w:rsid w:val="0049433B"/>
    <w:rsid w:val="004A2727"/>
    <w:rsid w:val="004A4743"/>
    <w:rsid w:val="004A5DB2"/>
    <w:rsid w:val="004B67E4"/>
    <w:rsid w:val="004B74CA"/>
    <w:rsid w:val="004C0497"/>
    <w:rsid w:val="004C09DE"/>
    <w:rsid w:val="004C556B"/>
    <w:rsid w:val="004C7EFA"/>
    <w:rsid w:val="004D1E7E"/>
    <w:rsid w:val="004D43C5"/>
    <w:rsid w:val="004D44E2"/>
    <w:rsid w:val="004D4CED"/>
    <w:rsid w:val="004D5C06"/>
    <w:rsid w:val="004D5DF5"/>
    <w:rsid w:val="004D79FA"/>
    <w:rsid w:val="004E0B67"/>
    <w:rsid w:val="004E6EC4"/>
    <w:rsid w:val="004E7981"/>
    <w:rsid w:val="004E7CA6"/>
    <w:rsid w:val="004F14EC"/>
    <w:rsid w:val="004F3E6B"/>
    <w:rsid w:val="004F45D6"/>
    <w:rsid w:val="004F4BA5"/>
    <w:rsid w:val="004F5B39"/>
    <w:rsid w:val="00500CAC"/>
    <w:rsid w:val="00502FA5"/>
    <w:rsid w:val="00502FC8"/>
    <w:rsid w:val="00503253"/>
    <w:rsid w:val="005052EF"/>
    <w:rsid w:val="00506130"/>
    <w:rsid w:val="00506CDC"/>
    <w:rsid w:val="00507BC8"/>
    <w:rsid w:val="00522E1E"/>
    <w:rsid w:val="00522F1D"/>
    <w:rsid w:val="00524D32"/>
    <w:rsid w:val="005276DF"/>
    <w:rsid w:val="0053149B"/>
    <w:rsid w:val="005325EF"/>
    <w:rsid w:val="005342B2"/>
    <w:rsid w:val="00540B4C"/>
    <w:rsid w:val="0054105F"/>
    <w:rsid w:val="00547E93"/>
    <w:rsid w:val="0055191E"/>
    <w:rsid w:val="00555EC5"/>
    <w:rsid w:val="005616D4"/>
    <w:rsid w:val="005630C2"/>
    <w:rsid w:val="0056680F"/>
    <w:rsid w:val="00570671"/>
    <w:rsid w:val="0057081D"/>
    <w:rsid w:val="00576484"/>
    <w:rsid w:val="00576A4F"/>
    <w:rsid w:val="005840FB"/>
    <w:rsid w:val="0058420C"/>
    <w:rsid w:val="00591DBB"/>
    <w:rsid w:val="005A1820"/>
    <w:rsid w:val="005A1ED5"/>
    <w:rsid w:val="005A23C9"/>
    <w:rsid w:val="005A2A2F"/>
    <w:rsid w:val="005B04E6"/>
    <w:rsid w:val="005B1249"/>
    <w:rsid w:val="005B384A"/>
    <w:rsid w:val="005B40AD"/>
    <w:rsid w:val="005B6727"/>
    <w:rsid w:val="005B6972"/>
    <w:rsid w:val="005B6F1D"/>
    <w:rsid w:val="005C1529"/>
    <w:rsid w:val="005C5637"/>
    <w:rsid w:val="005C7A29"/>
    <w:rsid w:val="005D0369"/>
    <w:rsid w:val="005D4FA9"/>
    <w:rsid w:val="005D7868"/>
    <w:rsid w:val="005E01E7"/>
    <w:rsid w:val="005E1693"/>
    <w:rsid w:val="005E5594"/>
    <w:rsid w:val="005E6FDD"/>
    <w:rsid w:val="005E70FE"/>
    <w:rsid w:val="005F00C6"/>
    <w:rsid w:val="005F12FB"/>
    <w:rsid w:val="005F16B7"/>
    <w:rsid w:val="005F2189"/>
    <w:rsid w:val="005F2A57"/>
    <w:rsid w:val="005F7EC9"/>
    <w:rsid w:val="00600B6B"/>
    <w:rsid w:val="00600D11"/>
    <w:rsid w:val="00606900"/>
    <w:rsid w:val="00610689"/>
    <w:rsid w:val="00611799"/>
    <w:rsid w:val="006142DC"/>
    <w:rsid w:val="0062034D"/>
    <w:rsid w:val="006223F9"/>
    <w:rsid w:val="00633C46"/>
    <w:rsid w:val="006352BB"/>
    <w:rsid w:val="00644587"/>
    <w:rsid w:val="0064674C"/>
    <w:rsid w:val="00653489"/>
    <w:rsid w:val="00655326"/>
    <w:rsid w:val="0065714D"/>
    <w:rsid w:val="00657B9B"/>
    <w:rsid w:val="00661B23"/>
    <w:rsid w:val="006621DF"/>
    <w:rsid w:val="00675BD1"/>
    <w:rsid w:val="0067659B"/>
    <w:rsid w:val="00677931"/>
    <w:rsid w:val="00682254"/>
    <w:rsid w:val="00683CBF"/>
    <w:rsid w:val="00690627"/>
    <w:rsid w:val="0069084A"/>
    <w:rsid w:val="00695EE8"/>
    <w:rsid w:val="00695F12"/>
    <w:rsid w:val="006A002D"/>
    <w:rsid w:val="006A1B6F"/>
    <w:rsid w:val="006A3FD0"/>
    <w:rsid w:val="006A4E15"/>
    <w:rsid w:val="006B2130"/>
    <w:rsid w:val="006B2C92"/>
    <w:rsid w:val="006B3299"/>
    <w:rsid w:val="006B7DCD"/>
    <w:rsid w:val="006C767F"/>
    <w:rsid w:val="006D070B"/>
    <w:rsid w:val="006D0BE7"/>
    <w:rsid w:val="006D11A4"/>
    <w:rsid w:val="006D14F5"/>
    <w:rsid w:val="006D5739"/>
    <w:rsid w:val="006D6D33"/>
    <w:rsid w:val="006D7601"/>
    <w:rsid w:val="006E0583"/>
    <w:rsid w:val="006E0603"/>
    <w:rsid w:val="006E2AC1"/>
    <w:rsid w:val="006E693B"/>
    <w:rsid w:val="006E7F79"/>
    <w:rsid w:val="006F00DA"/>
    <w:rsid w:val="006F4AE6"/>
    <w:rsid w:val="006F4C2B"/>
    <w:rsid w:val="007063A1"/>
    <w:rsid w:val="00706734"/>
    <w:rsid w:val="00707929"/>
    <w:rsid w:val="007120F3"/>
    <w:rsid w:val="00715D62"/>
    <w:rsid w:val="00716DA4"/>
    <w:rsid w:val="007207C1"/>
    <w:rsid w:val="00720FEF"/>
    <w:rsid w:val="007263FB"/>
    <w:rsid w:val="007306E5"/>
    <w:rsid w:val="0073252F"/>
    <w:rsid w:val="00732583"/>
    <w:rsid w:val="007349CD"/>
    <w:rsid w:val="007349ED"/>
    <w:rsid w:val="007401D1"/>
    <w:rsid w:val="007475AD"/>
    <w:rsid w:val="00750A00"/>
    <w:rsid w:val="00752704"/>
    <w:rsid w:val="00753071"/>
    <w:rsid w:val="0075420D"/>
    <w:rsid w:val="007548DE"/>
    <w:rsid w:val="007555E7"/>
    <w:rsid w:val="00760F9A"/>
    <w:rsid w:val="00762FF4"/>
    <w:rsid w:val="007638FE"/>
    <w:rsid w:val="0076607D"/>
    <w:rsid w:val="00771762"/>
    <w:rsid w:val="0077346A"/>
    <w:rsid w:val="00773F8A"/>
    <w:rsid w:val="00776408"/>
    <w:rsid w:val="0077656A"/>
    <w:rsid w:val="00783B60"/>
    <w:rsid w:val="00783EE5"/>
    <w:rsid w:val="00784867"/>
    <w:rsid w:val="00787614"/>
    <w:rsid w:val="00793139"/>
    <w:rsid w:val="0079785A"/>
    <w:rsid w:val="007A021A"/>
    <w:rsid w:val="007A108F"/>
    <w:rsid w:val="007B32E0"/>
    <w:rsid w:val="007B3F47"/>
    <w:rsid w:val="007B6351"/>
    <w:rsid w:val="007B68FB"/>
    <w:rsid w:val="007C04FB"/>
    <w:rsid w:val="007C4E4B"/>
    <w:rsid w:val="007C744B"/>
    <w:rsid w:val="007D4C3C"/>
    <w:rsid w:val="007D5883"/>
    <w:rsid w:val="007D5E4F"/>
    <w:rsid w:val="007E004A"/>
    <w:rsid w:val="007E318D"/>
    <w:rsid w:val="007E698E"/>
    <w:rsid w:val="007F158C"/>
    <w:rsid w:val="007F520E"/>
    <w:rsid w:val="007F5211"/>
    <w:rsid w:val="00802BAB"/>
    <w:rsid w:val="00813892"/>
    <w:rsid w:val="00814A09"/>
    <w:rsid w:val="00816A63"/>
    <w:rsid w:val="00816ED1"/>
    <w:rsid w:val="00817532"/>
    <w:rsid w:val="008176FD"/>
    <w:rsid w:val="008210CD"/>
    <w:rsid w:val="0082288F"/>
    <w:rsid w:val="00824C0E"/>
    <w:rsid w:val="00826E7D"/>
    <w:rsid w:val="008302F5"/>
    <w:rsid w:val="00830C78"/>
    <w:rsid w:val="00836EB5"/>
    <w:rsid w:val="00843CAC"/>
    <w:rsid w:val="00843FF9"/>
    <w:rsid w:val="00844AE9"/>
    <w:rsid w:val="00846673"/>
    <w:rsid w:val="00847C75"/>
    <w:rsid w:val="00850D90"/>
    <w:rsid w:val="00852FB5"/>
    <w:rsid w:val="008535F8"/>
    <w:rsid w:val="00854935"/>
    <w:rsid w:val="008550D6"/>
    <w:rsid w:val="00855145"/>
    <w:rsid w:val="00855560"/>
    <w:rsid w:val="00855DBD"/>
    <w:rsid w:val="0086049F"/>
    <w:rsid w:val="0086359C"/>
    <w:rsid w:val="00863D58"/>
    <w:rsid w:val="00863E92"/>
    <w:rsid w:val="00870F16"/>
    <w:rsid w:val="00871DB9"/>
    <w:rsid w:val="00875688"/>
    <w:rsid w:val="00875DCD"/>
    <w:rsid w:val="00881909"/>
    <w:rsid w:val="00886C83"/>
    <w:rsid w:val="0089451E"/>
    <w:rsid w:val="008976CA"/>
    <w:rsid w:val="00897ABD"/>
    <w:rsid w:val="008A1A56"/>
    <w:rsid w:val="008A3F1D"/>
    <w:rsid w:val="008A4C6C"/>
    <w:rsid w:val="008A6C75"/>
    <w:rsid w:val="008B151C"/>
    <w:rsid w:val="008B6393"/>
    <w:rsid w:val="008C4B5D"/>
    <w:rsid w:val="008C6AB5"/>
    <w:rsid w:val="008C6E8F"/>
    <w:rsid w:val="008C6EA4"/>
    <w:rsid w:val="008D49FE"/>
    <w:rsid w:val="008D5530"/>
    <w:rsid w:val="008D760E"/>
    <w:rsid w:val="008E4303"/>
    <w:rsid w:val="008F0138"/>
    <w:rsid w:val="008F2154"/>
    <w:rsid w:val="008F58AF"/>
    <w:rsid w:val="008F5B00"/>
    <w:rsid w:val="008F6DCC"/>
    <w:rsid w:val="00903C7E"/>
    <w:rsid w:val="00907DA9"/>
    <w:rsid w:val="00911291"/>
    <w:rsid w:val="00913129"/>
    <w:rsid w:val="009135C4"/>
    <w:rsid w:val="00916EE4"/>
    <w:rsid w:val="0091758B"/>
    <w:rsid w:val="0092762A"/>
    <w:rsid w:val="00941637"/>
    <w:rsid w:val="0094177E"/>
    <w:rsid w:val="00950B12"/>
    <w:rsid w:val="00951B5C"/>
    <w:rsid w:val="00951F25"/>
    <w:rsid w:val="00954396"/>
    <w:rsid w:val="009573C0"/>
    <w:rsid w:val="009574DA"/>
    <w:rsid w:val="00962725"/>
    <w:rsid w:val="009712C9"/>
    <w:rsid w:val="009753FA"/>
    <w:rsid w:val="00975AF3"/>
    <w:rsid w:val="00977059"/>
    <w:rsid w:val="00983AA4"/>
    <w:rsid w:val="00992AD6"/>
    <w:rsid w:val="009960B4"/>
    <w:rsid w:val="009961CB"/>
    <w:rsid w:val="009A0B96"/>
    <w:rsid w:val="009A14C2"/>
    <w:rsid w:val="009A4339"/>
    <w:rsid w:val="009A50DC"/>
    <w:rsid w:val="009A6F76"/>
    <w:rsid w:val="009B0F8F"/>
    <w:rsid w:val="009B20F4"/>
    <w:rsid w:val="009C0BBF"/>
    <w:rsid w:val="009D1CA0"/>
    <w:rsid w:val="009D3223"/>
    <w:rsid w:val="009D37FF"/>
    <w:rsid w:val="009D4642"/>
    <w:rsid w:val="009D4B5D"/>
    <w:rsid w:val="009D5BBE"/>
    <w:rsid w:val="009D5C1D"/>
    <w:rsid w:val="009D7210"/>
    <w:rsid w:val="009D7F86"/>
    <w:rsid w:val="009E2E58"/>
    <w:rsid w:val="009E4A14"/>
    <w:rsid w:val="009E7619"/>
    <w:rsid w:val="009F002B"/>
    <w:rsid w:val="009F3483"/>
    <w:rsid w:val="009F3B71"/>
    <w:rsid w:val="009F4194"/>
    <w:rsid w:val="009F4CC5"/>
    <w:rsid w:val="00A00458"/>
    <w:rsid w:val="00A02894"/>
    <w:rsid w:val="00A029FD"/>
    <w:rsid w:val="00A133DB"/>
    <w:rsid w:val="00A146C0"/>
    <w:rsid w:val="00A2467D"/>
    <w:rsid w:val="00A253DC"/>
    <w:rsid w:val="00A27E68"/>
    <w:rsid w:val="00A32D93"/>
    <w:rsid w:val="00A32DA4"/>
    <w:rsid w:val="00A34D7C"/>
    <w:rsid w:val="00A37D42"/>
    <w:rsid w:val="00A44AEE"/>
    <w:rsid w:val="00A457E0"/>
    <w:rsid w:val="00A46CB8"/>
    <w:rsid w:val="00A51B61"/>
    <w:rsid w:val="00A53AC6"/>
    <w:rsid w:val="00A57103"/>
    <w:rsid w:val="00A652AC"/>
    <w:rsid w:val="00A6677F"/>
    <w:rsid w:val="00A71E3D"/>
    <w:rsid w:val="00A73DAC"/>
    <w:rsid w:val="00A74A8E"/>
    <w:rsid w:val="00A821EC"/>
    <w:rsid w:val="00A94D8D"/>
    <w:rsid w:val="00A95905"/>
    <w:rsid w:val="00A95C75"/>
    <w:rsid w:val="00AA06A0"/>
    <w:rsid w:val="00AA131E"/>
    <w:rsid w:val="00AA5399"/>
    <w:rsid w:val="00AB1742"/>
    <w:rsid w:val="00AB4EA0"/>
    <w:rsid w:val="00AB50C5"/>
    <w:rsid w:val="00AB6EA0"/>
    <w:rsid w:val="00AC12F7"/>
    <w:rsid w:val="00AC245D"/>
    <w:rsid w:val="00AC285C"/>
    <w:rsid w:val="00AC365C"/>
    <w:rsid w:val="00AC46F5"/>
    <w:rsid w:val="00AD13A2"/>
    <w:rsid w:val="00AD1EFA"/>
    <w:rsid w:val="00AD2BCD"/>
    <w:rsid w:val="00AD6DC5"/>
    <w:rsid w:val="00AE3256"/>
    <w:rsid w:val="00AF047C"/>
    <w:rsid w:val="00AF2033"/>
    <w:rsid w:val="00AF493B"/>
    <w:rsid w:val="00AF5B5F"/>
    <w:rsid w:val="00AF5DC8"/>
    <w:rsid w:val="00AF7E90"/>
    <w:rsid w:val="00B012C9"/>
    <w:rsid w:val="00B05255"/>
    <w:rsid w:val="00B160D8"/>
    <w:rsid w:val="00B177F9"/>
    <w:rsid w:val="00B22D70"/>
    <w:rsid w:val="00B25DFE"/>
    <w:rsid w:val="00B26BFC"/>
    <w:rsid w:val="00B33FF3"/>
    <w:rsid w:val="00B3712C"/>
    <w:rsid w:val="00B402E5"/>
    <w:rsid w:val="00B42D40"/>
    <w:rsid w:val="00B443A6"/>
    <w:rsid w:val="00B44572"/>
    <w:rsid w:val="00B46176"/>
    <w:rsid w:val="00B537AE"/>
    <w:rsid w:val="00B56335"/>
    <w:rsid w:val="00B56384"/>
    <w:rsid w:val="00B574AF"/>
    <w:rsid w:val="00B60360"/>
    <w:rsid w:val="00B612AB"/>
    <w:rsid w:val="00B671D5"/>
    <w:rsid w:val="00B7415C"/>
    <w:rsid w:val="00B80EDA"/>
    <w:rsid w:val="00B87FBD"/>
    <w:rsid w:val="00B90BB9"/>
    <w:rsid w:val="00B935A9"/>
    <w:rsid w:val="00B9532F"/>
    <w:rsid w:val="00B96F19"/>
    <w:rsid w:val="00BA2329"/>
    <w:rsid w:val="00BA4FF2"/>
    <w:rsid w:val="00BA6F93"/>
    <w:rsid w:val="00BB5D84"/>
    <w:rsid w:val="00BB6C4D"/>
    <w:rsid w:val="00BD0841"/>
    <w:rsid w:val="00BD2295"/>
    <w:rsid w:val="00BD42CE"/>
    <w:rsid w:val="00BD52F0"/>
    <w:rsid w:val="00BD5766"/>
    <w:rsid w:val="00BE228C"/>
    <w:rsid w:val="00BE26C6"/>
    <w:rsid w:val="00BE29CB"/>
    <w:rsid w:val="00BE4C2F"/>
    <w:rsid w:val="00BF55C3"/>
    <w:rsid w:val="00BF71CA"/>
    <w:rsid w:val="00C0346A"/>
    <w:rsid w:val="00C03C44"/>
    <w:rsid w:val="00C04D54"/>
    <w:rsid w:val="00C07A54"/>
    <w:rsid w:val="00C13E20"/>
    <w:rsid w:val="00C1501D"/>
    <w:rsid w:val="00C2092D"/>
    <w:rsid w:val="00C22E29"/>
    <w:rsid w:val="00C25961"/>
    <w:rsid w:val="00C35B1F"/>
    <w:rsid w:val="00C36643"/>
    <w:rsid w:val="00C36994"/>
    <w:rsid w:val="00C406B9"/>
    <w:rsid w:val="00C449D4"/>
    <w:rsid w:val="00C473B1"/>
    <w:rsid w:val="00C520FD"/>
    <w:rsid w:val="00C530B6"/>
    <w:rsid w:val="00C559E5"/>
    <w:rsid w:val="00C55A9B"/>
    <w:rsid w:val="00C56154"/>
    <w:rsid w:val="00C600FF"/>
    <w:rsid w:val="00C60ED9"/>
    <w:rsid w:val="00C61EED"/>
    <w:rsid w:val="00C64418"/>
    <w:rsid w:val="00C650A0"/>
    <w:rsid w:val="00C712C3"/>
    <w:rsid w:val="00C7361C"/>
    <w:rsid w:val="00C73BCE"/>
    <w:rsid w:val="00C74DF9"/>
    <w:rsid w:val="00C74F5E"/>
    <w:rsid w:val="00C77134"/>
    <w:rsid w:val="00C87E99"/>
    <w:rsid w:val="00C943B1"/>
    <w:rsid w:val="00C97101"/>
    <w:rsid w:val="00CA2061"/>
    <w:rsid w:val="00CA312D"/>
    <w:rsid w:val="00CA53B9"/>
    <w:rsid w:val="00CA56D5"/>
    <w:rsid w:val="00CB5FCA"/>
    <w:rsid w:val="00CC0186"/>
    <w:rsid w:val="00CD576E"/>
    <w:rsid w:val="00CD5A09"/>
    <w:rsid w:val="00CD69BE"/>
    <w:rsid w:val="00CD6D9B"/>
    <w:rsid w:val="00CD70D8"/>
    <w:rsid w:val="00CE76BE"/>
    <w:rsid w:val="00CE773A"/>
    <w:rsid w:val="00CF2C93"/>
    <w:rsid w:val="00CF3561"/>
    <w:rsid w:val="00CF48B1"/>
    <w:rsid w:val="00D02199"/>
    <w:rsid w:val="00D045E9"/>
    <w:rsid w:val="00D045F8"/>
    <w:rsid w:val="00D1363E"/>
    <w:rsid w:val="00D13803"/>
    <w:rsid w:val="00D14664"/>
    <w:rsid w:val="00D15925"/>
    <w:rsid w:val="00D201C7"/>
    <w:rsid w:val="00D2358C"/>
    <w:rsid w:val="00D23E22"/>
    <w:rsid w:val="00D2687C"/>
    <w:rsid w:val="00D2729E"/>
    <w:rsid w:val="00D371A3"/>
    <w:rsid w:val="00D405A3"/>
    <w:rsid w:val="00D43220"/>
    <w:rsid w:val="00D45E5C"/>
    <w:rsid w:val="00D4775D"/>
    <w:rsid w:val="00D5680E"/>
    <w:rsid w:val="00D6182E"/>
    <w:rsid w:val="00D64094"/>
    <w:rsid w:val="00D746B3"/>
    <w:rsid w:val="00D9222B"/>
    <w:rsid w:val="00D943C9"/>
    <w:rsid w:val="00D96591"/>
    <w:rsid w:val="00D9690B"/>
    <w:rsid w:val="00DA262E"/>
    <w:rsid w:val="00DA30D1"/>
    <w:rsid w:val="00DA37F5"/>
    <w:rsid w:val="00DA39C8"/>
    <w:rsid w:val="00DB3A9D"/>
    <w:rsid w:val="00DC340B"/>
    <w:rsid w:val="00DC5DB4"/>
    <w:rsid w:val="00DC5F02"/>
    <w:rsid w:val="00DC66CA"/>
    <w:rsid w:val="00DC799F"/>
    <w:rsid w:val="00DC7DD9"/>
    <w:rsid w:val="00DD1FC9"/>
    <w:rsid w:val="00DD39C8"/>
    <w:rsid w:val="00DD3CEC"/>
    <w:rsid w:val="00DD4877"/>
    <w:rsid w:val="00DD4F24"/>
    <w:rsid w:val="00DD6653"/>
    <w:rsid w:val="00DD6C1F"/>
    <w:rsid w:val="00DE5A0E"/>
    <w:rsid w:val="00DE5DE8"/>
    <w:rsid w:val="00DE698B"/>
    <w:rsid w:val="00DF24B5"/>
    <w:rsid w:val="00DF404F"/>
    <w:rsid w:val="00DF6767"/>
    <w:rsid w:val="00E04156"/>
    <w:rsid w:val="00E05A90"/>
    <w:rsid w:val="00E0775A"/>
    <w:rsid w:val="00E10F45"/>
    <w:rsid w:val="00E11231"/>
    <w:rsid w:val="00E1556C"/>
    <w:rsid w:val="00E1563C"/>
    <w:rsid w:val="00E16962"/>
    <w:rsid w:val="00E237FA"/>
    <w:rsid w:val="00E2514B"/>
    <w:rsid w:val="00E27B3B"/>
    <w:rsid w:val="00E30062"/>
    <w:rsid w:val="00E312D2"/>
    <w:rsid w:val="00E31739"/>
    <w:rsid w:val="00E34C3B"/>
    <w:rsid w:val="00E35A00"/>
    <w:rsid w:val="00E37BA9"/>
    <w:rsid w:val="00E37F58"/>
    <w:rsid w:val="00E427B3"/>
    <w:rsid w:val="00E45089"/>
    <w:rsid w:val="00E45D03"/>
    <w:rsid w:val="00E47E54"/>
    <w:rsid w:val="00E511D9"/>
    <w:rsid w:val="00E51D25"/>
    <w:rsid w:val="00E51EB0"/>
    <w:rsid w:val="00E53673"/>
    <w:rsid w:val="00E538DF"/>
    <w:rsid w:val="00E541A9"/>
    <w:rsid w:val="00E57459"/>
    <w:rsid w:val="00E57B26"/>
    <w:rsid w:val="00E62712"/>
    <w:rsid w:val="00E63FEC"/>
    <w:rsid w:val="00E75973"/>
    <w:rsid w:val="00E76145"/>
    <w:rsid w:val="00E76A59"/>
    <w:rsid w:val="00E8086C"/>
    <w:rsid w:val="00E81C6C"/>
    <w:rsid w:val="00E81F7E"/>
    <w:rsid w:val="00E840C9"/>
    <w:rsid w:val="00E876D9"/>
    <w:rsid w:val="00E915C4"/>
    <w:rsid w:val="00E919DA"/>
    <w:rsid w:val="00E92321"/>
    <w:rsid w:val="00E93723"/>
    <w:rsid w:val="00E96994"/>
    <w:rsid w:val="00EA1E85"/>
    <w:rsid w:val="00EA2773"/>
    <w:rsid w:val="00EA4531"/>
    <w:rsid w:val="00EB0A07"/>
    <w:rsid w:val="00EB1EA2"/>
    <w:rsid w:val="00EB2B4C"/>
    <w:rsid w:val="00EB5015"/>
    <w:rsid w:val="00EC0DC0"/>
    <w:rsid w:val="00EC1BDF"/>
    <w:rsid w:val="00EC35B3"/>
    <w:rsid w:val="00ED3726"/>
    <w:rsid w:val="00ED3D16"/>
    <w:rsid w:val="00ED4BB3"/>
    <w:rsid w:val="00ED6EEA"/>
    <w:rsid w:val="00EE1473"/>
    <w:rsid w:val="00EF0EDE"/>
    <w:rsid w:val="00EF32CA"/>
    <w:rsid w:val="00EF56F6"/>
    <w:rsid w:val="00EF72C7"/>
    <w:rsid w:val="00F06F6F"/>
    <w:rsid w:val="00F20F7C"/>
    <w:rsid w:val="00F23C9D"/>
    <w:rsid w:val="00F31591"/>
    <w:rsid w:val="00F32B0B"/>
    <w:rsid w:val="00F35CD0"/>
    <w:rsid w:val="00F41480"/>
    <w:rsid w:val="00F53F20"/>
    <w:rsid w:val="00F6013E"/>
    <w:rsid w:val="00F607D1"/>
    <w:rsid w:val="00F62F30"/>
    <w:rsid w:val="00F633F8"/>
    <w:rsid w:val="00F64BEA"/>
    <w:rsid w:val="00F65805"/>
    <w:rsid w:val="00F66B35"/>
    <w:rsid w:val="00F6735F"/>
    <w:rsid w:val="00F679EE"/>
    <w:rsid w:val="00F71E37"/>
    <w:rsid w:val="00F7378B"/>
    <w:rsid w:val="00F7406D"/>
    <w:rsid w:val="00F744B1"/>
    <w:rsid w:val="00F774F9"/>
    <w:rsid w:val="00F811A3"/>
    <w:rsid w:val="00F83352"/>
    <w:rsid w:val="00F84FA4"/>
    <w:rsid w:val="00F86815"/>
    <w:rsid w:val="00F86B57"/>
    <w:rsid w:val="00F905FC"/>
    <w:rsid w:val="00F94F77"/>
    <w:rsid w:val="00F976F3"/>
    <w:rsid w:val="00FA5EA3"/>
    <w:rsid w:val="00FB4B15"/>
    <w:rsid w:val="00FB4CD1"/>
    <w:rsid w:val="00FC527E"/>
    <w:rsid w:val="00FC7E31"/>
    <w:rsid w:val="00FD0139"/>
    <w:rsid w:val="00FD2418"/>
    <w:rsid w:val="00FD2590"/>
    <w:rsid w:val="00FD2EC0"/>
    <w:rsid w:val="00FD6E7F"/>
    <w:rsid w:val="00FD7A40"/>
    <w:rsid w:val="00FE26B3"/>
    <w:rsid w:val="00FE2E26"/>
    <w:rsid w:val="00FE2FCB"/>
    <w:rsid w:val="00FE36F3"/>
    <w:rsid w:val="00FE69AC"/>
    <w:rsid w:val="00FF0C0E"/>
    <w:rsid w:val="00FF11F7"/>
    <w:rsid w:val="0314051C"/>
    <w:rsid w:val="04B073F7"/>
    <w:rsid w:val="04C315D8"/>
    <w:rsid w:val="05DEC111"/>
    <w:rsid w:val="072A7934"/>
    <w:rsid w:val="096A7DD0"/>
    <w:rsid w:val="0AAB4F0A"/>
    <w:rsid w:val="0AD40116"/>
    <w:rsid w:val="0B813432"/>
    <w:rsid w:val="0B830E84"/>
    <w:rsid w:val="0BCA1F5C"/>
    <w:rsid w:val="0C543C9E"/>
    <w:rsid w:val="0CE048F7"/>
    <w:rsid w:val="0D1A7868"/>
    <w:rsid w:val="0E43308A"/>
    <w:rsid w:val="0E7D75FC"/>
    <w:rsid w:val="0F4B38E4"/>
    <w:rsid w:val="123E6D5E"/>
    <w:rsid w:val="13497394"/>
    <w:rsid w:val="14171B19"/>
    <w:rsid w:val="143E013C"/>
    <w:rsid w:val="1587361F"/>
    <w:rsid w:val="16382921"/>
    <w:rsid w:val="167DA7E3"/>
    <w:rsid w:val="19153875"/>
    <w:rsid w:val="19466124"/>
    <w:rsid w:val="19476F3C"/>
    <w:rsid w:val="19BB7A89"/>
    <w:rsid w:val="1A232EE0"/>
    <w:rsid w:val="1A5B7FE0"/>
    <w:rsid w:val="1B690967"/>
    <w:rsid w:val="1BBC3013"/>
    <w:rsid w:val="1BC850D2"/>
    <w:rsid w:val="1BCA5086"/>
    <w:rsid w:val="1C4A0428"/>
    <w:rsid w:val="1C6A33F9"/>
    <w:rsid w:val="1CD469D0"/>
    <w:rsid w:val="1D7FBA87"/>
    <w:rsid w:val="1DDC987D"/>
    <w:rsid w:val="1F5D3A40"/>
    <w:rsid w:val="1FFF7CCD"/>
    <w:rsid w:val="219E33C1"/>
    <w:rsid w:val="2247129B"/>
    <w:rsid w:val="22AE25A4"/>
    <w:rsid w:val="23FF7A6C"/>
    <w:rsid w:val="253F5FDB"/>
    <w:rsid w:val="26B2C985"/>
    <w:rsid w:val="2DA23623"/>
    <w:rsid w:val="2E0A72C8"/>
    <w:rsid w:val="2EC9779A"/>
    <w:rsid w:val="2EE63891"/>
    <w:rsid w:val="2F9C0128"/>
    <w:rsid w:val="2FA023E1"/>
    <w:rsid w:val="2FDD8839"/>
    <w:rsid w:val="30E954C8"/>
    <w:rsid w:val="34276915"/>
    <w:rsid w:val="34784F8C"/>
    <w:rsid w:val="34C5219B"/>
    <w:rsid w:val="34E039C7"/>
    <w:rsid w:val="350509E7"/>
    <w:rsid w:val="35064C8D"/>
    <w:rsid w:val="35F34AFC"/>
    <w:rsid w:val="364D2183"/>
    <w:rsid w:val="366C5356"/>
    <w:rsid w:val="376A21FD"/>
    <w:rsid w:val="392A2FD2"/>
    <w:rsid w:val="39B01B72"/>
    <w:rsid w:val="39BA181F"/>
    <w:rsid w:val="39E6153D"/>
    <w:rsid w:val="3BBB0903"/>
    <w:rsid w:val="3BF74473"/>
    <w:rsid w:val="3C5D193C"/>
    <w:rsid w:val="3CB7019D"/>
    <w:rsid w:val="3CEDB1D7"/>
    <w:rsid w:val="3CFBDE27"/>
    <w:rsid w:val="3DDF6897"/>
    <w:rsid w:val="3EDE4158"/>
    <w:rsid w:val="3F37F64F"/>
    <w:rsid w:val="3F6F853E"/>
    <w:rsid w:val="3FA64D1C"/>
    <w:rsid w:val="3FEA4A31"/>
    <w:rsid w:val="3FFFAD89"/>
    <w:rsid w:val="42AE0712"/>
    <w:rsid w:val="431B3598"/>
    <w:rsid w:val="434C7CF8"/>
    <w:rsid w:val="4499660A"/>
    <w:rsid w:val="44E15285"/>
    <w:rsid w:val="45327C70"/>
    <w:rsid w:val="45A16B0C"/>
    <w:rsid w:val="45FB6A76"/>
    <w:rsid w:val="4775770F"/>
    <w:rsid w:val="47FEC93C"/>
    <w:rsid w:val="48592ECE"/>
    <w:rsid w:val="48CA4F4B"/>
    <w:rsid w:val="49492299"/>
    <w:rsid w:val="4A845635"/>
    <w:rsid w:val="4AFD6820"/>
    <w:rsid w:val="4CA15D5E"/>
    <w:rsid w:val="4EB705E7"/>
    <w:rsid w:val="50790B09"/>
    <w:rsid w:val="50CA30CD"/>
    <w:rsid w:val="50F55F71"/>
    <w:rsid w:val="51E1640E"/>
    <w:rsid w:val="52B92DD6"/>
    <w:rsid w:val="58A86821"/>
    <w:rsid w:val="58EC59A6"/>
    <w:rsid w:val="59A056C7"/>
    <w:rsid w:val="59BE0AA6"/>
    <w:rsid w:val="5A067FCF"/>
    <w:rsid w:val="5BB03B33"/>
    <w:rsid w:val="5D351B6E"/>
    <w:rsid w:val="5DF9ED55"/>
    <w:rsid w:val="5F4C4F82"/>
    <w:rsid w:val="5F566E78"/>
    <w:rsid w:val="5FB5C7B2"/>
    <w:rsid w:val="5FBF8F6E"/>
    <w:rsid w:val="5FED0EFE"/>
    <w:rsid w:val="5FF65DB6"/>
    <w:rsid w:val="5FFF488E"/>
    <w:rsid w:val="60D40EEC"/>
    <w:rsid w:val="60F632D8"/>
    <w:rsid w:val="61AB1547"/>
    <w:rsid w:val="61E77B9F"/>
    <w:rsid w:val="61FF5DBB"/>
    <w:rsid w:val="62DC287E"/>
    <w:rsid w:val="672B0C73"/>
    <w:rsid w:val="675E2F95"/>
    <w:rsid w:val="67BE27AC"/>
    <w:rsid w:val="68CFF2EF"/>
    <w:rsid w:val="69F70F0C"/>
    <w:rsid w:val="6AE78C5E"/>
    <w:rsid w:val="6B560C02"/>
    <w:rsid w:val="6C891725"/>
    <w:rsid w:val="6D8D5769"/>
    <w:rsid w:val="6DFA6436"/>
    <w:rsid w:val="6E5024FA"/>
    <w:rsid w:val="6EEE864E"/>
    <w:rsid w:val="6F180F98"/>
    <w:rsid w:val="6F1E1C98"/>
    <w:rsid w:val="6F7E0342"/>
    <w:rsid w:val="6FB739AD"/>
    <w:rsid w:val="6FBF9641"/>
    <w:rsid w:val="6FFAA179"/>
    <w:rsid w:val="6FFF4D6D"/>
    <w:rsid w:val="713E28A7"/>
    <w:rsid w:val="715A7C78"/>
    <w:rsid w:val="72133201"/>
    <w:rsid w:val="742835D1"/>
    <w:rsid w:val="74F2756E"/>
    <w:rsid w:val="75DF5019"/>
    <w:rsid w:val="76C27D0D"/>
    <w:rsid w:val="76D679D5"/>
    <w:rsid w:val="76FA146B"/>
    <w:rsid w:val="77BE57A0"/>
    <w:rsid w:val="77DFD613"/>
    <w:rsid w:val="78BF6E52"/>
    <w:rsid w:val="794628B6"/>
    <w:rsid w:val="79DED7A6"/>
    <w:rsid w:val="79E368C3"/>
    <w:rsid w:val="7A083F9D"/>
    <w:rsid w:val="7B5EDEB0"/>
    <w:rsid w:val="7B98AC38"/>
    <w:rsid w:val="7BD8D2E6"/>
    <w:rsid w:val="7C6F5AAD"/>
    <w:rsid w:val="7D7F7243"/>
    <w:rsid w:val="7DB9071B"/>
    <w:rsid w:val="7DC5EAD5"/>
    <w:rsid w:val="7DEC9A6E"/>
    <w:rsid w:val="7DFF072E"/>
    <w:rsid w:val="7DFF23E8"/>
    <w:rsid w:val="7DFF851D"/>
    <w:rsid w:val="7DFFA5BD"/>
    <w:rsid w:val="7E27188C"/>
    <w:rsid w:val="7E7CA4A9"/>
    <w:rsid w:val="7E7D7B5B"/>
    <w:rsid w:val="7EEF1B7F"/>
    <w:rsid w:val="7EFF509E"/>
    <w:rsid w:val="7F1FEFC6"/>
    <w:rsid w:val="7F374F95"/>
    <w:rsid w:val="7F730D68"/>
    <w:rsid w:val="7FF67C14"/>
    <w:rsid w:val="7FFD2F26"/>
    <w:rsid w:val="7FFF6FC1"/>
    <w:rsid w:val="8F7FBBB5"/>
    <w:rsid w:val="8FBBF131"/>
    <w:rsid w:val="9BE76609"/>
    <w:rsid w:val="9FC4EF97"/>
    <w:rsid w:val="9FFBF314"/>
    <w:rsid w:val="AFF7AB6A"/>
    <w:rsid w:val="AFFDB2C6"/>
    <w:rsid w:val="AFFF9369"/>
    <w:rsid w:val="B4EEA609"/>
    <w:rsid w:val="B7F7C769"/>
    <w:rsid w:val="B7F7F563"/>
    <w:rsid w:val="B9FE0B01"/>
    <w:rsid w:val="BABF6299"/>
    <w:rsid w:val="BDB3209D"/>
    <w:rsid w:val="BDEB310E"/>
    <w:rsid w:val="BFD51C21"/>
    <w:rsid w:val="BFF4E338"/>
    <w:rsid w:val="CE79B5B3"/>
    <w:rsid w:val="D5AFCD58"/>
    <w:rsid w:val="D67FA389"/>
    <w:rsid w:val="D9F876A6"/>
    <w:rsid w:val="DADE5EA3"/>
    <w:rsid w:val="DDA80339"/>
    <w:rsid w:val="DEDC114F"/>
    <w:rsid w:val="DFFF453D"/>
    <w:rsid w:val="E1DD1872"/>
    <w:rsid w:val="E76EA874"/>
    <w:rsid w:val="E7D7750D"/>
    <w:rsid w:val="E7D9CA4E"/>
    <w:rsid w:val="EB9E50CF"/>
    <w:rsid w:val="EDFDDCED"/>
    <w:rsid w:val="EEBFC637"/>
    <w:rsid w:val="EED5EEE3"/>
    <w:rsid w:val="EEFFD397"/>
    <w:rsid w:val="EF6F5BF5"/>
    <w:rsid w:val="EF7A0244"/>
    <w:rsid w:val="EFBF3F75"/>
    <w:rsid w:val="EFF71865"/>
    <w:rsid w:val="EFFFBFB1"/>
    <w:rsid w:val="F16E7091"/>
    <w:rsid w:val="F271E1B8"/>
    <w:rsid w:val="F3FAB6A2"/>
    <w:rsid w:val="F78B17F6"/>
    <w:rsid w:val="F7F7F5F4"/>
    <w:rsid w:val="F7FEA8C7"/>
    <w:rsid w:val="F9BE6F97"/>
    <w:rsid w:val="F9FA5093"/>
    <w:rsid w:val="FA7E5705"/>
    <w:rsid w:val="FABCEBED"/>
    <w:rsid w:val="FAFFB226"/>
    <w:rsid w:val="FBFFE19E"/>
    <w:rsid w:val="FCCE674B"/>
    <w:rsid w:val="FCFA3D30"/>
    <w:rsid w:val="FD9FCE47"/>
    <w:rsid w:val="FDF45CB4"/>
    <w:rsid w:val="FEFBDACB"/>
    <w:rsid w:val="FEFD1ECF"/>
    <w:rsid w:val="FEFE4F09"/>
    <w:rsid w:val="FF4E1A32"/>
    <w:rsid w:val="FFB5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0"/>
    </w:pPr>
    <w:rPr>
      <w:rFonts w:ascii="Times New Roman" w:hAnsi="Times New Roman" w:eastAsia="黑体"/>
      <w:kern w:val="44"/>
      <w:sz w:val="32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100" w:beforeLines="100" w:after="100" w:afterLines="100"/>
      <w:jc w:val="center"/>
      <w:outlineLvl w:val="1"/>
    </w:pPr>
    <w:rPr>
      <w:rFonts w:ascii="Cambria" w:hAnsi="Cambria" w:eastAsia="楷体"/>
      <w:b/>
      <w:bCs/>
      <w:szCs w:val="32"/>
      <w:lang w:eastAsia="zh-Hans"/>
    </w:rPr>
  </w:style>
  <w:style w:type="paragraph" w:styleId="4">
    <w:name w:val="heading 3"/>
    <w:basedOn w:val="1"/>
    <w:next w:val="1"/>
    <w:qFormat/>
    <w:uiPriority w:val="9"/>
    <w:pPr>
      <w:spacing w:before="156" w:beforeLines="50" w:after="156" w:afterLines="50"/>
      <w:ind w:firstLine="643" w:firstLineChars="200"/>
      <w:outlineLvl w:val="2"/>
    </w:pPr>
    <w:rPr>
      <w:rFonts w:ascii="楷体" w:hAnsi="楷体" w:eastAsia="楷体"/>
      <w:b/>
      <w:bCs/>
      <w:lang w:eastAsia="zh-Hans"/>
    </w:rPr>
  </w:style>
  <w:style w:type="paragraph" w:styleId="5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17"/>
    <w:qFormat/>
    <w:uiPriority w:val="99"/>
    <w:pPr>
      <w:snapToGrid w:val="0"/>
      <w:jc w:val="left"/>
    </w:pPr>
    <w:rPr>
      <w:sz w:val="18"/>
      <w:szCs w:val="18"/>
    </w:rPr>
  </w:style>
  <w:style w:type="character" w:styleId="13">
    <w:name w:val="page number"/>
    <w:qFormat/>
    <w:uiPriority w:val="0"/>
  </w:style>
  <w:style w:type="character" w:styleId="14">
    <w:name w:val="footnote reference"/>
    <w:qFormat/>
    <w:uiPriority w:val="99"/>
    <w:rPr>
      <w:vertAlign w:val="superscript"/>
    </w:rPr>
  </w:style>
  <w:style w:type="character" w:customStyle="1" w:styleId="15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17">
    <w:name w:val="脚注文本 字符"/>
    <w:link w:val="10"/>
    <w:qFormat/>
    <w:uiPriority w:val="99"/>
    <w:rPr>
      <w:kern w:val="2"/>
      <w:sz w:val="18"/>
      <w:szCs w:val="18"/>
    </w:rPr>
  </w:style>
  <w:style w:type="character" w:customStyle="1" w:styleId="18">
    <w:name w:val="脚注文本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User</Company>
  <Pages>6</Pages>
  <Words>448</Words>
  <Characters>2560</Characters>
  <Lines>21</Lines>
  <Paragraphs>6</Paragraphs>
  <TotalTime>4</TotalTime>
  <ScaleCrop>false</ScaleCrop>
  <LinksUpToDate>false</LinksUpToDate>
  <CharactersWithSpaces>3002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2022-11-19T11:48:00Z</dcterms:created>
  <dc:creator>张琳施</dc:creator>
  <cp:lastModifiedBy>梁海珍</cp:lastModifiedBy>
  <cp:lastPrinted>2022-11-19T01:07:00Z</cp:lastPrinted>
  <dcterms:modified xsi:type="dcterms:W3CDTF">2023-03-28T16:13:09Z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9918393050FA4F058DCF53D78F61FB94</vt:lpwstr>
  </property>
</Properties>
</file>